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165A3" w14:textId="771E68E8" w:rsidR="001E0E52" w:rsidRDefault="001E0E52" w:rsidP="001E0E52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 nr 1</w:t>
      </w:r>
    </w:p>
    <w:p w14:paraId="2E881A6F" w14:textId="0FA40506" w:rsidR="0040375D" w:rsidRPr="0040375D" w:rsidRDefault="0040375D" w:rsidP="0040375D">
      <w:pPr>
        <w:jc w:val="both"/>
        <w:rPr>
          <w:rFonts w:ascii="Arial" w:hAnsi="Arial" w:cs="Arial"/>
        </w:rPr>
      </w:pPr>
      <w:r w:rsidRPr="0040375D">
        <w:rPr>
          <w:rFonts w:ascii="Arial" w:hAnsi="Arial" w:cs="Arial"/>
          <w:b/>
          <w:bCs/>
        </w:rPr>
        <w:t>Przedmiot zamówienia:</w:t>
      </w:r>
      <w:r>
        <w:rPr>
          <w:rFonts w:ascii="Arial" w:hAnsi="Arial" w:cs="Arial"/>
        </w:rPr>
        <w:t xml:space="preserve"> „</w:t>
      </w:r>
      <w:r w:rsidRPr="0040375D">
        <w:rPr>
          <w:rFonts w:ascii="Arial" w:hAnsi="Arial" w:cs="Arial"/>
        </w:rPr>
        <w:t>Zakup i dostawa myjni endoskopowej dla potrzeb Miejskiego Szpitala Zespolonego w Częstochowie</w:t>
      </w:r>
      <w:r>
        <w:rPr>
          <w:rFonts w:ascii="Arial" w:hAnsi="Arial" w:cs="Arial"/>
        </w:rPr>
        <w:t>”</w:t>
      </w:r>
      <w:r w:rsidRPr="0040375D">
        <w:rPr>
          <w:rFonts w:ascii="Arial" w:hAnsi="Arial" w:cs="Arial"/>
        </w:rPr>
        <w:t>.</w:t>
      </w:r>
    </w:p>
    <w:p w14:paraId="0238A88D" w14:textId="4206B4FD" w:rsidR="000B38F6" w:rsidRPr="00CB6B12" w:rsidRDefault="00195FFB">
      <w:pPr>
        <w:rPr>
          <w:rFonts w:ascii="Arial" w:hAnsi="Arial" w:cs="Arial"/>
          <w:b/>
          <w:bCs/>
          <w:u w:val="single"/>
        </w:rPr>
      </w:pPr>
      <w:r w:rsidRPr="00CB6B12">
        <w:rPr>
          <w:rFonts w:ascii="Arial" w:hAnsi="Arial" w:cs="Arial"/>
          <w:b/>
          <w:bCs/>
          <w:u w:val="single"/>
        </w:rPr>
        <w:t xml:space="preserve">Myjnia </w:t>
      </w:r>
      <w:r w:rsidR="00B15FFB">
        <w:rPr>
          <w:rFonts w:ascii="Arial" w:hAnsi="Arial" w:cs="Arial"/>
          <w:b/>
          <w:bCs/>
          <w:u w:val="single"/>
        </w:rPr>
        <w:t xml:space="preserve">endoskopowa - </w:t>
      </w:r>
      <w:r w:rsidRPr="00CB6B12">
        <w:rPr>
          <w:rFonts w:ascii="Arial" w:hAnsi="Arial" w:cs="Arial"/>
          <w:b/>
          <w:bCs/>
          <w:u w:val="single"/>
        </w:rPr>
        <w:t>dezynfektor na jeden endoskop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7"/>
        <w:gridCol w:w="3531"/>
        <w:gridCol w:w="1695"/>
        <w:gridCol w:w="3119"/>
      </w:tblGrid>
      <w:tr w:rsidR="00EC6CFF" w:rsidRPr="00EC6CFF" w14:paraId="68F920A9" w14:textId="77777777" w:rsidTr="00D0212F">
        <w:trPr>
          <w:trHeight w:val="288"/>
        </w:trPr>
        <w:tc>
          <w:tcPr>
            <w:tcW w:w="717" w:type="dxa"/>
            <w:vAlign w:val="center"/>
            <w:hideMark/>
          </w:tcPr>
          <w:p w14:paraId="79D153E7" w14:textId="77777777" w:rsidR="00195FFB" w:rsidRPr="00EC6CFF" w:rsidRDefault="00195FFB" w:rsidP="00B15F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CFF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531" w:type="dxa"/>
            <w:vAlign w:val="center"/>
            <w:hideMark/>
          </w:tcPr>
          <w:p w14:paraId="6E8CBCE0" w14:textId="77777777" w:rsidR="00195FFB" w:rsidRPr="00EC6CFF" w:rsidRDefault="00195FFB" w:rsidP="00B15F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CFF">
              <w:rPr>
                <w:rFonts w:ascii="Arial" w:hAnsi="Arial" w:cs="Arial"/>
                <w:b/>
                <w:bCs/>
                <w:sz w:val="20"/>
                <w:szCs w:val="20"/>
              </w:rPr>
              <w:t>Opis przedmiotu zamówienia</w:t>
            </w:r>
          </w:p>
        </w:tc>
        <w:tc>
          <w:tcPr>
            <w:tcW w:w="1695" w:type="dxa"/>
            <w:hideMark/>
          </w:tcPr>
          <w:p w14:paraId="2836D63C" w14:textId="6BFB2033" w:rsidR="00195FFB" w:rsidRPr="00EC6CFF" w:rsidRDefault="00195FFB" w:rsidP="00B15F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CFF">
              <w:rPr>
                <w:rFonts w:ascii="Arial" w:hAnsi="Arial" w:cs="Arial"/>
                <w:b/>
                <w:bCs/>
                <w:sz w:val="20"/>
                <w:szCs w:val="20"/>
              </w:rPr>
              <w:t>Warunki</w:t>
            </w:r>
            <w:r w:rsidR="00B15FFB" w:rsidRPr="00EC6C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C6CFF">
              <w:rPr>
                <w:rFonts w:ascii="Arial" w:hAnsi="Arial" w:cs="Arial"/>
                <w:b/>
                <w:bCs/>
                <w:sz w:val="20"/>
                <w:szCs w:val="20"/>
              </w:rPr>
              <w:t>wymagane Tak/Nie</w:t>
            </w:r>
          </w:p>
        </w:tc>
        <w:tc>
          <w:tcPr>
            <w:tcW w:w="3119" w:type="dxa"/>
            <w:vAlign w:val="center"/>
            <w:hideMark/>
          </w:tcPr>
          <w:p w14:paraId="5AC5952F" w14:textId="77777777" w:rsidR="00195FFB" w:rsidRPr="00EC6CFF" w:rsidRDefault="00195FFB" w:rsidP="00B15F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CFF">
              <w:rPr>
                <w:rFonts w:ascii="Arial" w:hAnsi="Arial" w:cs="Arial"/>
                <w:b/>
                <w:bCs/>
                <w:sz w:val="20"/>
                <w:szCs w:val="20"/>
              </w:rPr>
              <w:t>Parametry oferowane podać, opisać</w:t>
            </w:r>
          </w:p>
        </w:tc>
      </w:tr>
      <w:tr w:rsidR="00EC6CFF" w:rsidRPr="00EC6CFF" w14:paraId="5E7F9E91" w14:textId="77777777" w:rsidTr="002D0790">
        <w:trPr>
          <w:trHeight w:val="288"/>
        </w:trPr>
        <w:tc>
          <w:tcPr>
            <w:tcW w:w="9062" w:type="dxa"/>
            <w:gridSpan w:val="4"/>
            <w:hideMark/>
          </w:tcPr>
          <w:p w14:paraId="3866E583" w14:textId="77777777" w:rsidR="00195FFB" w:rsidRPr="00EC6CFF" w:rsidRDefault="00195FFB" w:rsidP="002D07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CF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C6CFF" w:rsidRPr="00EC6CFF" w14:paraId="6B0D0526" w14:textId="77777777" w:rsidTr="00D0212F">
        <w:trPr>
          <w:trHeight w:val="288"/>
        </w:trPr>
        <w:tc>
          <w:tcPr>
            <w:tcW w:w="717" w:type="dxa"/>
          </w:tcPr>
          <w:p w14:paraId="60F3018E" w14:textId="577D8121" w:rsidR="00195FFB" w:rsidRPr="00EC6CFF" w:rsidRDefault="00195FFB" w:rsidP="00CB6B12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1" w:type="dxa"/>
            <w:hideMark/>
          </w:tcPr>
          <w:p w14:paraId="658F9F77" w14:textId="77777777" w:rsidR="00195FFB" w:rsidRPr="00EC6CFF" w:rsidRDefault="00195FFB" w:rsidP="002D07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C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Producent </w:t>
            </w:r>
          </w:p>
        </w:tc>
        <w:tc>
          <w:tcPr>
            <w:tcW w:w="1695" w:type="dxa"/>
            <w:vAlign w:val="center"/>
            <w:hideMark/>
          </w:tcPr>
          <w:p w14:paraId="51E5943C" w14:textId="77777777" w:rsidR="00195FFB" w:rsidRPr="00EC6CFF" w:rsidRDefault="00195FFB" w:rsidP="00B15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Podać</w:t>
            </w:r>
          </w:p>
        </w:tc>
        <w:tc>
          <w:tcPr>
            <w:tcW w:w="3119" w:type="dxa"/>
            <w:hideMark/>
          </w:tcPr>
          <w:p w14:paraId="6F74B33C" w14:textId="77777777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6CFF" w:rsidRPr="00EC6CFF" w14:paraId="7715AD47" w14:textId="77777777" w:rsidTr="00D0212F">
        <w:trPr>
          <w:trHeight w:val="288"/>
        </w:trPr>
        <w:tc>
          <w:tcPr>
            <w:tcW w:w="717" w:type="dxa"/>
          </w:tcPr>
          <w:p w14:paraId="6D8B627C" w14:textId="04CFA922" w:rsidR="00195FFB" w:rsidRPr="00EC6CFF" w:rsidRDefault="00195FFB" w:rsidP="00CB6B12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1" w:type="dxa"/>
            <w:hideMark/>
          </w:tcPr>
          <w:p w14:paraId="174E2D9B" w14:textId="77777777" w:rsidR="00195FFB" w:rsidRPr="00EC6CFF" w:rsidRDefault="00195FFB" w:rsidP="002D07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C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Kraj pochodzenia </w:t>
            </w:r>
          </w:p>
        </w:tc>
        <w:tc>
          <w:tcPr>
            <w:tcW w:w="1695" w:type="dxa"/>
            <w:vAlign w:val="center"/>
            <w:hideMark/>
          </w:tcPr>
          <w:p w14:paraId="2D383ED8" w14:textId="77777777" w:rsidR="00195FFB" w:rsidRPr="00EC6CFF" w:rsidRDefault="00195FFB" w:rsidP="00B15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Podać</w:t>
            </w:r>
          </w:p>
        </w:tc>
        <w:tc>
          <w:tcPr>
            <w:tcW w:w="3119" w:type="dxa"/>
            <w:hideMark/>
          </w:tcPr>
          <w:p w14:paraId="61CFAC66" w14:textId="77777777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6CFF" w:rsidRPr="00EC6CFF" w14:paraId="75010973" w14:textId="77777777" w:rsidTr="00D0212F">
        <w:trPr>
          <w:trHeight w:val="288"/>
        </w:trPr>
        <w:tc>
          <w:tcPr>
            <w:tcW w:w="717" w:type="dxa"/>
          </w:tcPr>
          <w:p w14:paraId="15A57009" w14:textId="2D981E2C" w:rsidR="00195FFB" w:rsidRPr="00EC6CFF" w:rsidRDefault="00195FFB" w:rsidP="00CB6B12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1" w:type="dxa"/>
            <w:hideMark/>
          </w:tcPr>
          <w:p w14:paraId="06C7CAD6" w14:textId="29FF4BAB" w:rsidR="00195FFB" w:rsidRPr="00EC6CFF" w:rsidRDefault="00195FFB" w:rsidP="002D07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CFF">
              <w:rPr>
                <w:rFonts w:ascii="Arial" w:hAnsi="Arial" w:cs="Arial"/>
                <w:b/>
                <w:bCs/>
                <w:sz w:val="20"/>
                <w:szCs w:val="20"/>
              </w:rPr>
              <w:t>Rok produkcji nie starszy niż 2016</w:t>
            </w:r>
            <w:r w:rsidR="002A53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(nowa lub używana)</w:t>
            </w:r>
          </w:p>
        </w:tc>
        <w:tc>
          <w:tcPr>
            <w:tcW w:w="1695" w:type="dxa"/>
            <w:vAlign w:val="center"/>
            <w:hideMark/>
          </w:tcPr>
          <w:p w14:paraId="39BD24BF" w14:textId="77777777" w:rsidR="00195FFB" w:rsidRPr="00EC6CFF" w:rsidRDefault="00195FFB" w:rsidP="00B15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Podać</w:t>
            </w:r>
          </w:p>
        </w:tc>
        <w:tc>
          <w:tcPr>
            <w:tcW w:w="3119" w:type="dxa"/>
            <w:hideMark/>
          </w:tcPr>
          <w:p w14:paraId="28378549" w14:textId="77777777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6CFF" w:rsidRPr="00EC6CFF" w14:paraId="5FD5B2BD" w14:textId="77777777" w:rsidTr="00D0212F">
        <w:trPr>
          <w:trHeight w:val="288"/>
        </w:trPr>
        <w:tc>
          <w:tcPr>
            <w:tcW w:w="717" w:type="dxa"/>
          </w:tcPr>
          <w:p w14:paraId="43D46901" w14:textId="3FCA46E4" w:rsidR="00195FFB" w:rsidRPr="00EC6CFF" w:rsidRDefault="00195FFB" w:rsidP="00CB6B12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1" w:type="dxa"/>
            <w:vAlign w:val="center"/>
            <w:hideMark/>
          </w:tcPr>
          <w:p w14:paraId="46CD1851" w14:textId="7D20D19C" w:rsidR="00195FFB" w:rsidRPr="00EC6CFF" w:rsidRDefault="00195FFB" w:rsidP="00B15FFB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 xml:space="preserve">Myjnia </w:t>
            </w:r>
            <w:r w:rsidR="00B15FFB" w:rsidRPr="00EC6CFF">
              <w:rPr>
                <w:rFonts w:ascii="Arial" w:hAnsi="Arial" w:cs="Arial"/>
                <w:sz w:val="20"/>
                <w:szCs w:val="20"/>
              </w:rPr>
              <w:t>endoskopowa</w:t>
            </w:r>
          </w:p>
        </w:tc>
        <w:tc>
          <w:tcPr>
            <w:tcW w:w="1695" w:type="dxa"/>
            <w:vAlign w:val="center"/>
            <w:hideMark/>
          </w:tcPr>
          <w:p w14:paraId="452AA3CE" w14:textId="77777777" w:rsidR="00195FFB" w:rsidRPr="00EC6CFF" w:rsidRDefault="00195FFB" w:rsidP="00B15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Podać model i typ</w:t>
            </w:r>
          </w:p>
        </w:tc>
        <w:tc>
          <w:tcPr>
            <w:tcW w:w="3119" w:type="dxa"/>
            <w:hideMark/>
          </w:tcPr>
          <w:p w14:paraId="0FDB0183" w14:textId="77777777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6CFF" w:rsidRPr="00EC6CFF" w14:paraId="691CA4E6" w14:textId="77777777" w:rsidTr="00D0212F">
        <w:trPr>
          <w:trHeight w:val="840"/>
        </w:trPr>
        <w:tc>
          <w:tcPr>
            <w:tcW w:w="717" w:type="dxa"/>
          </w:tcPr>
          <w:p w14:paraId="2436E6B0" w14:textId="4E0E688D" w:rsidR="00195FFB" w:rsidRPr="00EC6CFF" w:rsidRDefault="00195FFB" w:rsidP="00CB6B12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1" w:type="dxa"/>
            <w:hideMark/>
          </w:tcPr>
          <w:p w14:paraId="693CA23C" w14:textId="33CF961F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 xml:space="preserve">Automatyczny w pełni powtarzalny zamknięty system przeznaczony do mycia i dezynfekcji gastroskopów, </w:t>
            </w:r>
            <w:proofErr w:type="spellStart"/>
            <w:r w:rsidRPr="00EC6CFF">
              <w:rPr>
                <w:rFonts w:ascii="Arial" w:hAnsi="Arial" w:cs="Arial"/>
                <w:sz w:val="20"/>
                <w:szCs w:val="20"/>
              </w:rPr>
              <w:t>kolonoskopów</w:t>
            </w:r>
            <w:proofErr w:type="spellEnd"/>
            <w:r w:rsidRPr="00EC6CFF">
              <w:rPr>
                <w:rFonts w:ascii="Arial" w:hAnsi="Arial" w:cs="Arial"/>
                <w:sz w:val="20"/>
                <w:szCs w:val="20"/>
              </w:rPr>
              <w:t xml:space="preserve"> zgodny z wym</w:t>
            </w:r>
            <w:r w:rsidR="00025F8C" w:rsidRPr="00EC6CFF">
              <w:rPr>
                <w:rFonts w:ascii="Arial" w:hAnsi="Arial" w:cs="Arial"/>
                <w:sz w:val="20"/>
                <w:szCs w:val="20"/>
              </w:rPr>
              <w:t>aganiami wynikającymi z Rozporządzenia Ministra Zdrowia oraz normami.</w:t>
            </w:r>
          </w:p>
        </w:tc>
        <w:tc>
          <w:tcPr>
            <w:tcW w:w="1695" w:type="dxa"/>
            <w:vAlign w:val="center"/>
            <w:hideMark/>
          </w:tcPr>
          <w:p w14:paraId="5628CFC2" w14:textId="083B7840" w:rsidR="00195FFB" w:rsidRPr="00EC6CFF" w:rsidRDefault="00CB6B12" w:rsidP="00B15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119" w:type="dxa"/>
            <w:hideMark/>
          </w:tcPr>
          <w:p w14:paraId="76B717E5" w14:textId="77777777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6CFF" w:rsidRPr="00EC6CFF" w14:paraId="4BD66F3C" w14:textId="77777777" w:rsidTr="00D0212F">
        <w:trPr>
          <w:trHeight w:val="288"/>
        </w:trPr>
        <w:tc>
          <w:tcPr>
            <w:tcW w:w="717" w:type="dxa"/>
          </w:tcPr>
          <w:p w14:paraId="0AEEFD60" w14:textId="19CDCD41" w:rsidR="00195FFB" w:rsidRPr="00EC6CFF" w:rsidRDefault="00195FFB" w:rsidP="00CB6B12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1" w:type="dxa"/>
            <w:hideMark/>
          </w:tcPr>
          <w:p w14:paraId="0D7AFBFB" w14:textId="47B05785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Myjnia-dezynfektor ładowana od frontu</w:t>
            </w:r>
            <w:r w:rsidR="00EC6CFF" w:rsidRPr="00EC6CF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95" w:type="dxa"/>
            <w:vAlign w:val="center"/>
            <w:hideMark/>
          </w:tcPr>
          <w:p w14:paraId="42219730" w14:textId="291C1902" w:rsidR="00195FFB" w:rsidRPr="00EC6CFF" w:rsidRDefault="00CB6B12" w:rsidP="00B15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119" w:type="dxa"/>
            <w:hideMark/>
          </w:tcPr>
          <w:p w14:paraId="1DB1DF76" w14:textId="77777777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6CFF" w:rsidRPr="00EC6CFF" w14:paraId="02155105" w14:textId="77777777" w:rsidTr="00D0212F">
        <w:trPr>
          <w:trHeight w:val="552"/>
        </w:trPr>
        <w:tc>
          <w:tcPr>
            <w:tcW w:w="717" w:type="dxa"/>
          </w:tcPr>
          <w:p w14:paraId="7C762191" w14:textId="0747FCE6" w:rsidR="00195FFB" w:rsidRPr="00EC6CFF" w:rsidRDefault="00195FFB" w:rsidP="00CB6B12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1" w:type="dxa"/>
            <w:hideMark/>
          </w:tcPr>
          <w:p w14:paraId="5AF2B089" w14:textId="5AB75E7A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 xml:space="preserve">Wyświetlacz – </w:t>
            </w:r>
            <w:r w:rsidR="00025F8C" w:rsidRPr="00EC6CFF">
              <w:rPr>
                <w:rFonts w:ascii="Arial" w:hAnsi="Arial" w:cs="Arial"/>
                <w:sz w:val="20"/>
                <w:szCs w:val="20"/>
              </w:rPr>
              <w:t>trzycyfrowy informujący o stanie myjni</w:t>
            </w:r>
            <w:r w:rsidR="00EC6CFF" w:rsidRPr="00EC6CF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95" w:type="dxa"/>
            <w:vAlign w:val="center"/>
            <w:hideMark/>
          </w:tcPr>
          <w:p w14:paraId="2B6B5129" w14:textId="0E2C05B2" w:rsidR="00195FFB" w:rsidRPr="00EC6CFF" w:rsidRDefault="00CB6B12" w:rsidP="00B15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119" w:type="dxa"/>
            <w:hideMark/>
          </w:tcPr>
          <w:p w14:paraId="4F15601E" w14:textId="77777777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6CFF" w:rsidRPr="00EC6CFF" w14:paraId="403610E9" w14:textId="77777777" w:rsidTr="00D0212F">
        <w:trPr>
          <w:trHeight w:val="828"/>
        </w:trPr>
        <w:tc>
          <w:tcPr>
            <w:tcW w:w="717" w:type="dxa"/>
          </w:tcPr>
          <w:p w14:paraId="06D1D26F" w14:textId="6FBDC590" w:rsidR="00195FFB" w:rsidRPr="00EC6CFF" w:rsidRDefault="00195FFB" w:rsidP="00CB6B12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1" w:type="dxa"/>
            <w:hideMark/>
          </w:tcPr>
          <w:p w14:paraId="3A82A6D9" w14:textId="30662C1F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Umieszczenie endoskop</w:t>
            </w:r>
            <w:r w:rsidR="002B5D41" w:rsidRPr="00EC6CFF">
              <w:rPr>
                <w:rFonts w:ascii="Arial" w:hAnsi="Arial" w:cs="Arial"/>
                <w:sz w:val="20"/>
                <w:szCs w:val="20"/>
              </w:rPr>
              <w:t>u w</w:t>
            </w:r>
            <w:r w:rsidRPr="00EC6CFF">
              <w:rPr>
                <w:rFonts w:ascii="Arial" w:hAnsi="Arial" w:cs="Arial"/>
                <w:sz w:val="20"/>
                <w:szCs w:val="20"/>
              </w:rPr>
              <w:t xml:space="preserve"> kosz</w:t>
            </w:r>
            <w:r w:rsidR="002B5D41" w:rsidRPr="00EC6CFF">
              <w:rPr>
                <w:rFonts w:ascii="Arial" w:hAnsi="Arial" w:cs="Arial"/>
                <w:sz w:val="20"/>
                <w:szCs w:val="20"/>
              </w:rPr>
              <w:t>u</w:t>
            </w:r>
            <w:r w:rsidRPr="00EC6CFF">
              <w:rPr>
                <w:rFonts w:ascii="Arial" w:hAnsi="Arial" w:cs="Arial"/>
                <w:sz w:val="20"/>
                <w:szCs w:val="20"/>
              </w:rPr>
              <w:t xml:space="preserve"> wysuwan</w:t>
            </w:r>
            <w:r w:rsidR="002B5D41" w:rsidRPr="00EC6CFF">
              <w:rPr>
                <w:rFonts w:ascii="Arial" w:hAnsi="Arial" w:cs="Arial"/>
                <w:sz w:val="20"/>
                <w:szCs w:val="20"/>
              </w:rPr>
              <w:t>ym</w:t>
            </w:r>
            <w:r w:rsidRPr="00EC6CFF">
              <w:rPr>
                <w:rFonts w:ascii="Arial" w:hAnsi="Arial" w:cs="Arial"/>
                <w:sz w:val="20"/>
                <w:szCs w:val="20"/>
              </w:rPr>
              <w:t xml:space="preserve"> z myjni, umożliwiając</w:t>
            </w:r>
            <w:r w:rsidR="002B5D41" w:rsidRPr="00EC6CFF">
              <w:rPr>
                <w:rFonts w:ascii="Arial" w:hAnsi="Arial" w:cs="Arial"/>
                <w:sz w:val="20"/>
                <w:szCs w:val="20"/>
              </w:rPr>
              <w:t xml:space="preserve">ym </w:t>
            </w:r>
            <w:r w:rsidRPr="00EC6CFF">
              <w:rPr>
                <w:rFonts w:ascii="Arial" w:hAnsi="Arial" w:cs="Arial"/>
                <w:sz w:val="20"/>
                <w:szCs w:val="20"/>
              </w:rPr>
              <w:t xml:space="preserve">ułożenie sondy endoskopu w taki sposób, który uniemożliwiałby stykanie się lub krzyżowanie </w:t>
            </w:r>
            <w:r w:rsidR="002B5D41" w:rsidRPr="00EC6CFF">
              <w:rPr>
                <w:rFonts w:ascii="Arial" w:hAnsi="Arial" w:cs="Arial"/>
                <w:sz w:val="20"/>
                <w:szCs w:val="20"/>
              </w:rPr>
              <w:t xml:space="preserve">się </w:t>
            </w:r>
            <w:r w:rsidRPr="00EC6CFF">
              <w:rPr>
                <w:rFonts w:ascii="Arial" w:hAnsi="Arial" w:cs="Arial"/>
                <w:sz w:val="20"/>
                <w:szCs w:val="20"/>
              </w:rPr>
              <w:t>powierzchni sondy</w:t>
            </w:r>
            <w:r w:rsidR="00EC6CFF" w:rsidRPr="00EC6CF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95" w:type="dxa"/>
            <w:vAlign w:val="center"/>
            <w:hideMark/>
          </w:tcPr>
          <w:p w14:paraId="414797FB" w14:textId="2F399D36" w:rsidR="00195FFB" w:rsidRPr="00EC6CFF" w:rsidRDefault="00CB6B12" w:rsidP="00B15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119" w:type="dxa"/>
            <w:hideMark/>
          </w:tcPr>
          <w:p w14:paraId="729E5BD6" w14:textId="77777777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6CFF" w:rsidRPr="00EC6CFF" w14:paraId="00BBE942" w14:textId="77777777" w:rsidTr="00D0212F">
        <w:trPr>
          <w:trHeight w:val="552"/>
        </w:trPr>
        <w:tc>
          <w:tcPr>
            <w:tcW w:w="717" w:type="dxa"/>
          </w:tcPr>
          <w:p w14:paraId="46A881BB" w14:textId="5E51267D" w:rsidR="00195FFB" w:rsidRPr="00EC6CFF" w:rsidRDefault="00195FFB" w:rsidP="00CB6B12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1" w:type="dxa"/>
            <w:hideMark/>
          </w:tcPr>
          <w:p w14:paraId="4985C1DE" w14:textId="3411F80F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System myjący kanały wewnętrzne i powierzchnie endoskopów przy użyciu niezależnych konektorów</w:t>
            </w:r>
            <w:r w:rsidR="00EC6CFF" w:rsidRPr="00EC6CF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95" w:type="dxa"/>
            <w:vAlign w:val="center"/>
            <w:hideMark/>
          </w:tcPr>
          <w:p w14:paraId="2B6B40CF" w14:textId="4D82ADBA" w:rsidR="00195FFB" w:rsidRPr="00EC6CFF" w:rsidRDefault="00CB6B12" w:rsidP="00B15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119" w:type="dxa"/>
            <w:hideMark/>
          </w:tcPr>
          <w:p w14:paraId="4CA212E6" w14:textId="77777777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6CFF" w:rsidRPr="00EC6CFF" w14:paraId="7E0BA036" w14:textId="77777777" w:rsidTr="00D0212F">
        <w:trPr>
          <w:trHeight w:val="564"/>
        </w:trPr>
        <w:tc>
          <w:tcPr>
            <w:tcW w:w="717" w:type="dxa"/>
          </w:tcPr>
          <w:p w14:paraId="43F04B70" w14:textId="6A3E68F1" w:rsidR="00195FFB" w:rsidRPr="00EC6CFF" w:rsidRDefault="00195FFB" w:rsidP="00CB6B12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1" w:type="dxa"/>
            <w:hideMark/>
          </w:tcPr>
          <w:p w14:paraId="748AE5F2" w14:textId="12C1E8F0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Jednorazowe użycie środków chemicznych dedykowanych do użycia w myjniach endoskopowych wysokotemperaturowych</w:t>
            </w:r>
            <w:r w:rsidR="00EC6CFF" w:rsidRPr="00EC6CF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95" w:type="dxa"/>
            <w:vAlign w:val="center"/>
            <w:hideMark/>
          </w:tcPr>
          <w:p w14:paraId="0FA46D8D" w14:textId="6E48C573" w:rsidR="00195FFB" w:rsidRPr="00EC6CFF" w:rsidRDefault="00CB6B12" w:rsidP="00B15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119" w:type="dxa"/>
            <w:hideMark/>
          </w:tcPr>
          <w:p w14:paraId="320B7EC9" w14:textId="77777777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6CFF" w:rsidRPr="00EC6CFF" w14:paraId="1BD8A226" w14:textId="77777777" w:rsidTr="00D0212F">
        <w:trPr>
          <w:trHeight w:val="828"/>
        </w:trPr>
        <w:tc>
          <w:tcPr>
            <w:tcW w:w="717" w:type="dxa"/>
          </w:tcPr>
          <w:p w14:paraId="1F0E247E" w14:textId="774CD617" w:rsidR="00195FFB" w:rsidRPr="00EC6CFF" w:rsidRDefault="00195FFB" w:rsidP="00CB6B12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1" w:type="dxa"/>
            <w:hideMark/>
          </w:tcPr>
          <w:p w14:paraId="7C9AA666" w14:textId="470E82EF" w:rsidR="00195FFB" w:rsidRPr="00EC6CFF" w:rsidRDefault="002B5D41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K</w:t>
            </w:r>
            <w:r w:rsidR="00195FFB" w:rsidRPr="00EC6CFF">
              <w:rPr>
                <w:rFonts w:ascii="Arial" w:hAnsi="Arial" w:cs="Arial"/>
                <w:sz w:val="20"/>
                <w:szCs w:val="20"/>
              </w:rPr>
              <w:t>ontrola szczelności endoskop</w:t>
            </w:r>
            <w:r w:rsidRPr="00EC6CFF">
              <w:rPr>
                <w:rFonts w:ascii="Arial" w:hAnsi="Arial" w:cs="Arial"/>
                <w:sz w:val="20"/>
                <w:szCs w:val="20"/>
              </w:rPr>
              <w:t>u</w:t>
            </w:r>
            <w:r w:rsidR="00195FFB" w:rsidRPr="00EC6CFF">
              <w:rPr>
                <w:rFonts w:ascii="Arial" w:hAnsi="Arial" w:cs="Arial"/>
                <w:sz w:val="20"/>
                <w:szCs w:val="20"/>
              </w:rPr>
              <w:t xml:space="preserve"> podczas każdego etapu procesu mycia i dezynfekcji z systemem zabezpieczającym przed ich zalaniem</w:t>
            </w:r>
            <w:r w:rsidR="00EC6CFF" w:rsidRPr="00EC6CF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95" w:type="dxa"/>
            <w:vAlign w:val="center"/>
            <w:hideMark/>
          </w:tcPr>
          <w:p w14:paraId="53EE92D6" w14:textId="3BFC9C85" w:rsidR="00195FFB" w:rsidRPr="00EC6CFF" w:rsidRDefault="00CB6B12" w:rsidP="00B15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119" w:type="dxa"/>
            <w:hideMark/>
          </w:tcPr>
          <w:p w14:paraId="0283F848" w14:textId="77777777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6CFF" w:rsidRPr="00EC6CFF" w14:paraId="2B24E806" w14:textId="77777777" w:rsidTr="00D0212F">
        <w:trPr>
          <w:trHeight w:val="288"/>
        </w:trPr>
        <w:tc>
          <w:tcPr>
            <w:tcW w:w="717" w:type="dxa"/>
          </w:tcPr>
          <w:p w14:paraId="7022E524" w14:textId="59BE29D0" w:rsidR="00195FFB" w:rsidRPr="00EC6CFF" w:rsidRDefault="00195FFB" w:rsidP="00CB6B12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1" w:type="dxa"/>
            <w:hideMark/>
          </w:tcPr>
          <w:p w14:paraId="05BD7C22" w14:textId="3FDAC6EF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Uzdatnianie mikrobiologiczne wody poprzez wbudowaną lampę UV</w:t>
            </w:r>
            <w:r w:rsidR="00EC6CFF" w:rsidRPr="00EC6CF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95" w:type="dxa"/>
            <w:vAlign w:val="center"/>
            <w:hideMark/>
          </w:tcPr>
          <w:p w14:paraId="514FE71D" w14:textId="4EEC02B0" w:rsidR="00195FFB" w:rsidRPr="00EC6CFF" w:rsidRDefault="00CB6B12" w:rsidP="00B15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119" w:type="dxa"/>
            <w:hideMark/>
          </w:tcPr>
          <w:p w14:paraId="0162174F" w14:textId="77777777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6CFF" w:rsidRPr="00EC6CFF" w14:paraId="5B3AF51C" w14:textId="77777777" w:rsidTr="00D0212F">
        <w:trPr>
          <w:trHeight w:val="288"/>
        </w:trPr>
        <w:tc>
          <w:tcPr>
            <w:tcW w:w="717" w:type="dxa"/>
          </w:tcPr>
          <w:p w14:paraId="492ED863" w14:textId="6F56FB55" w:rsidR="00195FFB" w:rsidRPr="00EC6CFF" w:rsidRDefault="00195FFB" w:rsidP="00CB6B12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1" w:type="dxa"/>
            <w:hideMark/>
          </w:tcPr>
          <w:p w14:paraId="25303A77" w14:textId="4C324701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Zasilanie prądem trójfazowym</w:t>
            </w:r>
            <w:r w:rsidR="00EC6CFF" w:rsidRPr="00EC6CF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95" w:type="dxa"/>
            <w:vAlign w:val="center"/>
            <w:hideMark/>
          </w:tcPr>
          <w:p w14:paraId="463F9B4E" w14:textId="7DC4A9AB" w:rsidR="00195FFB" w:rsidRPr="00EC6CFF" w:rsidRDefault="00CB6B12" w:rsidP="00B15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119" w:type="dxa"/>
            <w:hideMark/>
          </w:tcPr>
          <w:p w14:paraId="1135E265" w14:textId="77777777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6CFF" w:rsidRPr="00EC6CFF" w14:paraId="5C2C6A79" w14:textId="77777777" w:rsidTr="00D0212F">
        <w:trPr>
          <w:trHeight w:val="288"/>
        </w:trPr>
        <w:tc>
          <w:tcPr>
            <w:tcW w:w="717" w:type="dxa"/>
          </w:tcPr>
          <w:p w14:paraId="7FDA2AC1" w14:textId="76F4E5DC" w:rsidR="00195FFB" w:rsidRPr="00EC6CFF" w:rsidRDefault="00195FFB" w:rsidP="00CB6B12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1" w:type="dxa"/>
            <w:hideMark/>
          </w:tcPr>
          <w:p w14:paraId="6FA72A6B" w14:textId="0C7DABBE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Zasilanie wodą z instalacji szpitalnej</w:t>
            </w:r>
            <w:r w:rsidR="00EC6CFF" w:rsidRPr="00EC6CF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95" w:type="dxa"/>
            <w:vAlign w:val="center"/>
            <w:hideMark/>
          </w:tcPr>
          <w:p w14:paraId="7B1331E5" w14:textId="3A909897" w:rsidR="00195FFB" w:rsidRPr="00EC6CFF" w:rsidRDefault="00CB6B12" w:rsidP="00B15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119" w:type="dxa"/>
            <w:hideMark/>
          </w:tcPr>
          <w:p w14:paraId="2A6E151B" w14:textId="77777777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551BB" w:rsidRPr="00EC6CFF" w14:paraId="7017BDDB" w14:textId="77777777" w:rsidTr="00D0212F">
        <w:trPr>
          <w:trHeight w:val="288"/>
        </w:trPr>
        <w:tc>
          <w:tcPr>
            <w:tcW w:w="717" w:type="dxa"/>
          </w:tcPr>
          <w:p w14:paraId="3A8A688A" w14:textId="77777777" w:rsidR="008551BB" w:rsidRPr="00EC6CFF" w:rsidRDefault="008551BB" w:rsidP="00CB6B12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1" w:type="dxa"/>
          </w:tcPr>
          <w:p w14:paraId="6AD94DF2" w14:textId="7376F403" w:rsidR="008551BB" w:rsidRPr="00EC6CFF" w:rsidRDefault="008551BB" w:rsidP="002D07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Wbudowany fabrycznie zmiękczacz wody.</w:t>
            </w:r>
          </w:p>
        </w:tc>
        <w:tc>
          <w:tcPr>
            <w:tcW w:w="1695" w:type="dxa"/>
            <w:vAlign w:val="center"/>
          </w:tcPr>
          <w:p w14:paraId="2D90389F" w14:textId="2A0335D0" w:rsidR="008551BB" w:rsidRPr="00EC6CFF" w:rsidRDefault="008551BB" w:rsidP="00B15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119" w:type="dxa"/>
          </w:tcPr>
          <w:p w14:paraId="10D90168" w14:textId="77777777" w:rsidR="008551BB" w:rsidRPr="00EC6CFF" w:rsidRDefault="008551BB" w:rsidP="002D07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CFF" w:rsidRPr="00EC6CFF" w14:paraId="3A183FDD" w14:textId="77777777" w:rsidTr="00D0212F">
        <w:trPr>
          <w:trHeight w:val="288"/>
        </w:trPr>
        <w:tc>
          <w:tcPr>
            <w:tcW w:w="717" w:type="dxa"/>
          </w:tcPr>
          <w:p w14:paraId="2EFD909B" w14:textId="2C231E09" w:rsidR="00195FFB" w:rsidRPr="00EC6CFF" w:rsidRDefault="00195FFB" w:rsidP="00CB6B12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1" w:type="dxa"/>
            <w:hideMark/>
          </w:tcPr>
          <w:p w14:paraId="50A14C52" w14:textId="3E598CDC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Obudowa komory ze stali kwasoodpornej</w:t>
            </w:r>
            <w:r w:rsidR="00EC6CFF" w:rsidRPr="00EC6CF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95" w:type="dxa"/>
            <w:vAlign w:val="center"/>
            <w:hideMark/>
          </w:tcPr>
          <w:p w14:paraId="56F9C09A" w14:textId="5E50AF0F" w:rsidR="00195FFB" w:rsidRPr="00EC6CFF" w:rsidRDefault="00CB6B12" w:rsidP="00B15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119" w:type="dxa"/>
            <w:hideMark/>
          </w:tcPr>
          <w:p w14:paraId="465EB37B" w14:textId="77777777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6CFF" w:rsidRPr="00EC6CFF" w14:paraId="3E8C0FD2" w14:textId="77777777" w:rsidTr="00D0212F">
        <w:trPr>
          <w:trHeight w:val="828"/>
        </w:trPr>
        <w:tc>
          <w:tcPr>
            <w:tcW w:w="717" w:type="dxa"/>
          </w:tcPr>
          <w:p w14:paraId="38DFC2EC" w14:textId="5A441583" w:rsidR="00195FFB" w:rsidRPr="00EC6CFF" w:rsidRDefault="00195FFB" w:rsidP="00CB6B12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1" w:type="dxa"/>
            <w:hideMark/>
          </w:tcPr>
          <w:p w14:paraId="7B45B923" w14:textId="38C6D155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Wraz z dostarczaną myjnią Wykonawca dostarczy urządzenie</w:t>
            </w:r>
            <w:r w:rsidR="007C40CC" w:rsidRPr="00EC6C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6CFF">
              <w:rPr>
                <w:rFonts w:ascii="Arial" w:hAnsi="Arial" w:cs="Arial"/>
                <w:sz w:val="20"/>
                <w:szCs w:val="20"/>
              </w:rPr>
              <w:t xml:space="preserve">sczytujące do rejestrowania </w:t>
            </w:r>
            <w:r w:rsidR="007C40CC" w:rsidRPr="00EC6CFF">
              <w:rPr>
                <w:rFonts w:ascii="Arial" w:hAnsi="Arial" w:cs="Arial"/>
                <w:sz w:val="20"/>
                <w:szCs w:val="20"/>
              </w:rPr>
              <w:t xml:space="preserve">(procesów) </w:t>
            </w:r>
            <w:r w:rsidRPr="00EC6CFF">
              <w:rPr>
                <w:rFonts w:ascii="Arial" w:hAnsi="Arial" w:cs="Arial"/>
                <w:sz w:val="20"/>
                <w:szCs w:val="20"/>
              </w:rPr>
              <w:t xml:space="preserve">endoskopów przez chip </w:t>
            </w:r>
            <w:proofErr w:type="spellStart"/>
            <w:r w:rsidRPr="00EC6CFF">
              <w:rPr>
                <w:rFonts w:ascii="Arial" w:hAnsi="Arial" w:cs="Arial"/>
                <w:sz w:val="20"/>
                <w:szCs w:val="20"/>
              </w:rPr>
              <w:t>RFiD</w:t>
            </w:r>
            <w:proofErr w:type="spellEnd"/>
            <w:r w:rsidRPr="00EC6CFF">
              <w:rPr>
                <w:rFonts w:ascii="Arial" w:hAnsi="Arial" w:cs="Arial"/>
                <w:sz w:val="20"/>
                <w:szCs w:val="20"/>
              </w:rPr>
              <w:t xml:space="preserve"> (bezkontaktowo)</w:t>
            </w:r>
            <w:r w:rsidR="007C40CC" w:rsidRPr="00EC6CFF">
              <w:rPr>
                <w:rFonts w:ascii="Arial" w:hAnsi="Arial" w:cs="Arial"/>
                <w:sz w:val="20"/>
                <w:szCs w:val="20"/>
              </w:rPr>
              <w:t xml:space="preserve"> z drukarką</w:t>
            </w:r>
            <w:r w:rsidR="00EC6CFF" w:rsidRPr="00EC6CF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95" w:type="dxa"/>
            <w:vAlign w:val="center"/>
            <w:hideMark/>
          </w:tcPr>
          <w:p w14:paraId="3CDC7903" w14:textId="60237E88" w:rsidR="00195FFB" w:rsidRPr="00EC6CFF" w:rsidRDefault="00CB6B12" w:rsidP="00B15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119" w:type="dxa"/>
            <w:hideMark/>
          </w:tcPr>
          <w:p w14:paraId="711B4752" w14:textId="77777777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6CFF" w:rsidRPr="00EC6CFF" w14:paraId="70CB9258" w14:textId="77777777" w:rsidTr="00D0212F">
        <w:trPr>
          <w:trHeight w:val="288"/>
        </w:trPr>
        <w:tc>
          <w:tcPr>
            <w:tcW w:w="717" w:type="dxa"/>
          </w:tcPr>
          <w:p w14:paraId="1E47CF05" w14:textId="00FA1F0E" w:rsidR="00195FFB" w:rsidRPr="00EC6CFF" w:rsidRDefault="00195FFB" w:rsidP="00CB6B12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1" w:type="dxa"/>
            <w:hideMark/>
          </w:tcPr>
          <w:p w14:paraId="43DDC397" w14:textId="750E184A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 xml:space="preserve">Dezynfekcja w procesie </w:t>
            </w:r>
            <w:proofErr w:type="spellStart"/>
            <w:r w:rsidR="002B5D41" w:rsidRPr="00EC6CFF">
              <w:rPr>
                <w:rFonts w:ascii="Arial" w:hAnsi="Arial" w:cs="Arial"/>
                <w:sz w:val="20"/>
                <w:szCs w:val="20"/>
              </w:rPr>
              <w:t>gluteraldehydu</w:t>
            </w:r>
            <w:proofErr w:type="spellEnd"/>
            <w:r w:rsidR="00EC6CFF" w:rsidRPr="00EC6CF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95" w:type="dxa"/>
            <w:vAlign w:val="center"/>
            <w:hideMark/>
          </w:tcPr>
          <w:p w14:paraId="2DA54A5A" w14:textId="192484A9" w:rsidR="00195FFB" w:rsidRPr="00EC6CFF" w:rsidRDefault="00CB6B12" w:rsidP="00B15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119" w:type="dxa"/>
            <w:hideMark/>
          </w:tcPr>
          <w:p w14:paraId="39223803" w14:textId="77777777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6CFF" w:rsidRPr="00EC6CFF" w14:paraId="1DD82D02" w14:textId="77777777" w:rsidTr="008551BB">
        <w:trPr>
          <w:trHeight w:val="418"/>
        </w:trPr>
        <w:tc>
          <w:tcPr>
            <w:tcW w:w="9062" w:type="dxa"/>
            <w:gridSpan w:val="4"/>
            <w:vAlign w:val="center"/>
            <w:hideMark/>
          </w:tcPr>
          <w:p w14:paraId="4CBA3035" w14:textId="77777777" w:rsidR="00195FFB" w:rsidRPr="00EC6CFF" w:rsidRDefault="00195FFB" w:rsidP="00B15F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CF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Gwarancja i Serwis</w:t>
            </w:r>
          </w:p>
        </w:tc>
      </w:tr>
      <w:tr w:rsidR="00EC6CFF" w:rsidRPr="00EC6CFF" w14:paraId="612727D0" w14:textId="77777777" w:rsidTr="00D0212F">
        <w:trPr>
          <w:trHeight w:val="288"/>
        </w:trPr>
        <w:tc>
          <w:tcPr>
            <w:tcW w:w="717" w:type="dxa"/>
          </w:tcPr>
          <w:p w14:paraId="094371B5" w14:textId="742F8A73" w:rsidR="00195FFB" w:rsidRPr="00EC6CFF" w:rsidRDefault="00195FFB" w:rsidP="00B15FFB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1" w:type="dxa"/>
            <w:hideMark/>
          </w:tcPr>
          <w:p w14:paraId="7B6DE745" w14:textId="4DD4BAC6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 xml:space="preserve">Okres gwarancji min. </w:t>
            </w:r>
            <w:r w:rsidR="00CB6B12" w:rsidRPr="00EC6CFF">
              <w:rPr>
                <w:rFonts w:ascii="Arial" w:hAnsi="Arial" w:cs="Arial"/>
                <w:sz w:val="20"/>
                <w:szCs w:val="20"/>
              </w:rPr>
              <w:t>12</w:t>
            </w:r>
            <w:r w:rsidRPr="00EC6CFF">
              <w:rPr>
                <w:rFonts w:ascii="Arial" w:hAnsi="Arial" w:cs="Arial"/>
                <w:sz w:val="20"/>
                <w:szCs w:val="20"/>
              </w:rPr>
              <w:t xml:space="preserve"> miesi</w:t>
            </w:r>
            <w:r w:rsidR="00CB6B12" w:rsidRPr="00EC6CFF">
              <w:rPr>
                <w:rFonts w:ascii="Arial" w:hAnsi="Arial" w:cs="Arial"/>
                <w:sz w:val="20"/>
                <w:szCs w:val="20"/>
              </w:rPr>
              <w:t>ęcy</w:t>
            </w:r>
            <w:r w:rsidR="00EC6CFF" w:rsidRPr="00EC6CF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95" w:type="dxa"/>
            <w:vAlign w:val="center"/>
            <w:hideMark/>
          </w:tcPr>
          <w:p w14:paraId="424E3CF3" w14:textId="4056E0B9" w:rsidR="00195FFB" w:rsidRPr="00EC6CFF" w:rsidRDefault="00B15FFB" w:rsidP="00B15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Tak,</w:t>
            </w:r>
            <w:r w:rsidR="00195FFB" w:rsidRPr="00EC6CFF">
              <w:rPr>
                <w:rFonts w:ascii="Arial" w:hAnsi="Arial" w:cs="Arial"/>
                <w:sz w:val="20"/>
                <w:szCs w:val="20"/>
              </w:rPr>
              <w:t xml:space="preserve"> podać</w:t>
            </w:r>
          </w:p>
        </w:tc>
        <w:tc>
          <w:tcPr>
            <w:tcW w:w="3119" w:type="dxa"/>
            <w:hideMark/>
          </w:tcPr>
          <w:p w14:paraId="4E850BEB" w14:textId="77777777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6CFF" w:rsidRPr="00EC6CFF" w14:paraId="4EF5F286" w14:textId="77777777" w:rsidTr="00D0212F">
        <w:trPr>
          <w:trHeight w:val="1104"/>
        </w:trPr>
        <w:tc>
          <w:tcPr>
            <w:tcW w:w="717" w:type="dxa"/>
          </w:tcPr>
          <w:p w14:paraId="362F308D" w14:textId="5EDF59DB" w:rsidR="00195FFB" w:rsidRPr="00EC6CFF" w:rsidRDefault="00195FFB" w:rsidP="00B15FFB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1" w:type="dxa"/>
            <w:hideMark/>
          </w:tcPr>
          <w:p w14:paraId="4B6670D5" w14:textId="4488C405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Autoryzowany serwis gwarancyjny i pogwarancyjny na terenie Polski. Wykonawca musi podać własny lub zewnętrzny serwis. Podać nazwę, adres, telefon kontaktowy wraz z dokumentacją potwierdzającą autoryzację</w:t>
            </w:r>
            <w:r w:rsidR="00EC6CFF" w:rsidRPr="00EC6CF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95" w:type="dxa"/>
            <w:vAlign w:val="center"/>
            <w:hideMark/>
          </w:tcPr>
          <w:p w14:paraId="34036C87" w14:textId="5FF7E3E9" w:rsidR="00195FFB" w:rsidRPr="00EC6CFF" w:rsidRDefault="00B15FFB" w:rsidP="00B15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Tak,</w:t>
            </w:r>
            <w:r w:rsidR="00195FFB" w:rsidRPr="00EC6CFF">
              <w:rPr>
                <w:rFonts w:ascii="Arial" w:hAnsi="Arial" w:cs="Arial"/>
                <w:sz w:val="20"/>
                <w:szCs w:val="20"/>
              </w:rPr>
              <w:t xml:space="preserve"> podać</w:t>
            </w:r>
          </w:p>
        </w:tc>
        <w:tc>
          <w:tcPr>
            <w:tcW w:w="3119" w:type="dxa"/>
            <w:hideMark/>
          </w:tcPr>
          <w:p w14:paraId="02674605" w14:textId="77777777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6CFF" w:rsidRPr="00EC6CFF" w14:paraId="4D0A0308" w14:textId="77777777" w:rsidTr="00D0212F">
        <w:trPr>
          <w:trHeight w:val="552"/>
        </w:trPr>
        <w:tc>
          <w:tcPr>
            <w:tcW w:w="717" w:type="dxa"/>
          </w:tcPr>
          <w:p w14:paraId="6EA74C44" w14:textId="0FBBE5F7" w:rsidR="00195FFB" w:rsidRPr="00EC6CFF" w:rsidRDefault="00195FFB" w:rsidP="00B15FFB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1" w:type="dxa"/>
            <w:hideMark/>
          </w:tcPr>
          <w:p w14:paraId="2325B65B" w14:textId="150D92B1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Podać częstotliwość wymaganych przez producenta przeglądów w danym okresie czasu – jeżeli jest wymagany</w:t>
            </w:r>
            <w:r w:rsidR="00EC6CFF" w:rsidRPr="00EC6CF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95" w:type="dxa"/>
            <w:vAlign w:val="center"/>
            <w:hideMark/>
          </w:tcPr>
          <w:p w14:paraId="78D17907" w14:textId="50DD9631" w:rsidR="00195FFB" w:rsidRPr="00EC6CFF" w:rsidRDefault="00B15FFB" w:rsidP="00B15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Tak</w:t>
            </w:r>
            <w:r w:rsidR="00195FFB" w:rsidRPr="00EC6CFF">
              <w:rPr>
                <w:rFonts w:ascii="Arial" w:hAnsi="Arial" w:cs="Arial"/>
                <w:sz w:val="20"/>
                <w:szCs w:val="20"/>
              </w:rPr>
              <w:t>, podać</w:t>
            </w:r>
          </w:p>
        </w:tc>
        <w:tc>
          <w:tcPr>
            <w:tcW w:w="3119" w:type="dxa"/>
            <w:hideMark/>
          </w:tcPr>
          <w:p w14:paraId="171CF5AF" w14:textId="77777777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6CFF" w:rsidRPr="00EC6CFF" w14:paraId="440E10D8" w14:textId="77777777" w:rsidTr="00D0212F">
        <w:trPr>
          <w:trHeight w:val="828"/>
        </w:trPr>
        <w:tc>
          <w:tcPr>
            <w:tcW w:w="717" w:type="dxa"/>
          </w:tcPr>
          <w:p w14:paraId="14231630" w14:textId="3671EE5A" w:rsidR="00195FFB" w:rsidRPr="00EC6CFF" w:rsidRDefault="00195FFB" w:rsidP="00B15FFB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1" w:type="dxa"/>
            <w:hideMark/>
          </w:tcPr>
          <w:p w14:paraId="2116DF78" w14:textId="2EBD9C17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 xml:space="preserve">Wszystkie czynności serwisowe w okresie gwarancji w tym wymagane przez producenta przeglądy </w:t>
            </w:r>
            <w:r w:rsidR="00CB6B12" w:rsidRPr="00EC6CFF">
              <w:rPr>
                <w:rFonts w:ascii="Arial" w:hAnsi="Arial" w:cs="Arial"/>
                <w:sz w:val="20"/>
                <w:szCs w:val="20"/>
              </w:rPr>
              <w:t xml:space="preserve">(pierwszy po zamontowaniu myjni, drugi przegląd po roku użytkowania) </w:t>
            </w:r>
            <w:r w:rsidRPr="00EC6CFF">
              <w:rPr>
                <w:rFonts w:ascii="Arial" w:hAnsi="Arial" w:cs="Arial"/>
                <w:sz w:val="20"/>
                <w:szCs w:val="20"/>
              </w:rPr>
              <w:t>wykonane będą na koszt wykonawcy (wraz z materiałami eksploatacyjnymi)</w:t>
            </w:r>
            <w:r w:rsidR="00EC6CFF" w:rsidRPr="00EC6CF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95" w:type="dxa"/>
            <w:vAlign w:val="center"/>
            <w:hideMark/>
          </w:tcPr>
          <w:p w14:paraId="0587C2A2" w14:textId="2961BCDF" w:rsidR="00195FFB" w:rsidRPr="00EC6CFF" w:rsidRDefault="00CB6B12" w:rsidP="00B15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119" w:type="dxa"/>
            <w:hideMark/>
          </w:tcPr>
          <w:p w14:paraId="444271A1" w14:textId="77777777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6CFF" w:rsidRPr="00EC6CFF" w14:paraId="65907EC2" w14:textId="77777777" w:rsidTr="00D0212F">
        <w:trPr>
          <w:trHeight w:val="828"/>
        </w:trPr>
        <w:tc>
          <w:tcPr>
            <w:tcW w:w="717" w:type="dxa"/>
          </w:tcPr>
          <w:p w14:paraId="6AA902C3" w14:textId="4BD1C052" w:rsidR="00195FFB" w:rsidRPr="00EC6CFF" w:rsidRDefault="00195FFB" w:rsidP="00B15FFB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1" w:type="dxa"/>
            <w:hideMark/>
          </w:tcPr>
          <w:p w14:paraId="70DBD9F0" w14:textId="3B19EA1C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Gwarancja dostępności części zamiennych lub równoważnych zapewniających prawidłowe funkcjonowanie min. 10 lat od daty dostawy</w:t>
            </w:r>
            <w:r w:rsidR="00EC6CFF" w:rsidRPr="00EC6CF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95" w:type="dxa"/>
            <w:vAlign w:val="center"/>
            <w:hideMark/>
          </w:tcPr>
          <w:p w14:paraId="3D44C9FE" w14:textId="3ED13894" w:rsidR="00195FFB" w:rsidRPr="00EC6CFF" w:rsidRDefault="00CB6B12" w:rsidP="00B15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119" w:type="dxa"/>
            <w:hideMark/>
          </w:tcPr>
          <w:p w14:paraId="1305EE37" w14:textId="77777777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6CFF" w:rsidRPr="00EC6CFF" w14:paraId="6AC6F039" w14:textId="77777777" w:rsidTr="00D0212F">
        <w:trPr>
          <w:trHeight w:val="828"/>
        </w:trPr>
        <w:tc>
          <w:tcPr>
            <w:tcW w:w="717" w:type="dxa"/>
          </w:tcPr>
          <w:p w14:paraId="735BBCF4" w14:textId="48CBEA85" w:rsidR="00195FFB" w:rsidRPr="00EC6CFF" w:rsidRDefault="00195FFB" w:rsidP="00B15FFB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1" w:type="dxa"/>
            <w:hideMark/>
          </w:tcPr>
          <w:p w14:paraId="216CCCBC" w14:textId="6C370026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W ramach wynagrodzenia dostawa i uruchomienie sprzętu wraz z instalacją, oraz przeszkolenie personelu medycznego w zakresie eksploatacji i obsługi</w:t>
            </w:r>
            <w:r w:rsidR="00EC6CFF" w:rsidRPr="00EC6CF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95" w:type="dxa"/>
            <w:vAlign w:val="center"/>
            <w:hideMark/>
          </w:tcPr>
          <w:p w14:paraId="65F717F2" w14:textId="3C397B53" w:rsidR="00195FFB" w:rsidRPr="00EC6CFF" w:rsidRDefault="00CB6B12" w:rsidP="00B15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119" w:type="dxa"/>
            <w:hideMark/>
          </w:tcPr>
          <w:p w14:paraId="535E7BF9" w14:textId="77777777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11A5" w:rsidRPr="00EC6CFF" w14:paraId="24DE063B" w14:textId="77777777" w:rsidTr="002A53A0">
        <w:trPr>
          <w:trHeight w:val="357"/>
        </w:trPr>
        <w:tc>
          <w:tcPr>
            <w:tcW w:w="717" w:type="dxa"/>
          </w:tcPr>
          <w:p w14:paraId="2800F4D4" w14:textId="77777777" w:rsidR="007911A5" w:rsidRPr="00EC6CFF" w:rsidRDefault="007911A5" w:rsidP="00B15FFB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1" w:type="dxa"/>
            <w:vAlign w:val="center"/>
          </w:tcPr>
          <w:p w14:paraId="47BD20FD" w14:textId="64FFB0FA" w:rsidR="007911A5" w:rsidRPr="00EC6CFF" w:rsidRDefault="007911A5" w:rsidP="002A53A0">
            <w:pPr>
              <w:rPr>
                <w:rFonts w:ascii="Arial" w:hAnsi="Arial" w:cs="Arial"/>
                <w:sz w:val="20"/>
                <w:szCs w:val="20"/>
              </w:rPr>
            </w:pPr>
            <w:r w:rsidRPr="007911A5">
              <w:rPr>
                <w:rFonts w:ascii="Arial" w:hAnsi="Arial" w:cs="Arial"/>
                <w:sz w:val="20"/>
                <w:szCs w:val="20"/>
              </w:rPr>
              <w:t>Paszport techniczny</w:t>
            </w:r>
          </w:p>
        </w:tc>
        <w:tc>
          <w:tcPr>
            <w:tcW w:w="1695" w:type="dxa"/>
            <w:vAlign w:val="center"/>
          </w:tcPr>
          <w:p w14:paraId="3DA757B0" w14:textId="4E0CD61D" w:rsidR="007911A5" w:rsidRPr="00EC6CFF" w:rsidRDefault="007911A5" w:rsidP="00B15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1A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119" w:type="dxa"/>
          </w:tcPr>
          <w:p w14:paraId="57DBC33E" w14:textId="77777777" w:rsidR="007911A5" w:rsidRPr="00EC6CFF" w:rsidRDefault="007911A5" w:rsidP="002D07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1A5" w:rsidRPr="00EC6CFF" w14:paraId="6EF01795" w14:textId="77777777" w:rsidTr="002A53A0">
        <w:trPr>
          <w:trHeight w:val="1539"/>
        </w:trPr>
        <w:tc>
          <w:tcPr>
            <w:tcW w:w="717" w:type="dxa"/>
          </w:tcPr>
          <w:p w14:paraId="3F2DBA8D" w14:textId="77777777" w:rsidR="007911A5" w:rsidRPr="00EC6CFF" w:rsidRDefault="007911A5" w:rsidP="00B15FFB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1" w:type="dxa"/>
            <w:vAlign w:val="center"/>
          </w:tcPr>
          <w:p w14:paraId="585A795B" w14:textId="2C3014D6" w:rsidR="007911A5" w:rsidRPr="002A53A0" w:rsidRDefault="007911A5" w:rsidP="002A53A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A53A0">
              <w:rPr>
                <w:rFonts w:ascii="Arial" w:hAnsi="Arial" w:cs="Arial"/>
                <w:sz w:val="20"/>
                <w:szCs w:val="20"/>
              </w:rPr>
              <w:t xml:space="preserve">Wymagana kompatybilność z </w:t>
            </w:r>
            <w:r w:rsidR="003236C7" w:rsidRPr="002A53A0">
              <w:rPr>
                <w:rFonts w:ascii="Arial" w:hAnsi="Arial" w:cs="Arial"/>
                <w:sz w:val="20"/>
                <w:szCs w:val="20"/>
              </w:rPr>
              <w:t>endoskopami/</w:t>
            </w:r>
            <w:r w:rsidRPr="002A53A0">
              <w:rPr>
                <w:rFonts w:ascii="Arial" w:hAnsi="Arial" w:cs="Arial"/>
                <w:sz w:val="20"/>
                <w:szCs w:val="20"/>
              </w:rPr>
              <w:t xml:space="preserve">gastroskopami posiadanymi przez Pracownię Endoskopii </w:t>
            </w:r>
            <w:proofErr w:type="spellStart"/>
            <w:r w:rsidRPr="002A53A0">
              <w:rPr>
                <w:rFonts w:ascii="Arial" w:hAnsi="Arial" w:cs="Arial"/>
                <w:sz w:val="20"/>
                <w:szCs w:val="20"/>
              </w:rPr>
              <w:t>tj</w:t>
            </w:r>
            <w:proofErr w:type="spellEnd"/>
            <w:r w:rsidRPr="002A53A0">
              <w:rPr>
                <w:rFonts w:ascii="Arial" w:hAnsi="Arial" w:cs="Arial"/>
                <w:sz w:val="20"/>
                <w:szCs w:val="20"/>
              </w:rPr>
              <w:t>:</w:t>
            </w:r>
            <w:r w:rsidR="00A81FAF" w:rsidRPr="002A53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53A0" w:rsidRPr="002A53A0">
              <w:rPr>
                <w:rFonts w:ascii="Arial" w:hAnsi="Arial" w:cs="Arial"/>
                <w:sz w:val="20"/>
                <w:szCs w:val="20"/>
              </w:rPr>
              <w:t xml:space="preserve">Gastroskop GIF-E; </w:t>
            </w:r>
            <w:r w:rsidR="00A81FAF" w:rsidRPr="002A53A0">
              <w:rPr>
                <w:rFonts w:ascii="Arial" w:hAnsi="Arial" w:cs="Arial"/>
                <w:sz w:val="20"/>
                <w:szCs w:val="20"/>
              </w:rPr>
              <w:t xml:space="preserve">Gastroskop GIF – H180, </w:t>
            </w:r>
            <w:r w:rsidR="002A53A0" w:rsidRPr="002A53A0">
              <w:rPr>
                <w:rFonts w:ascii="Arial" w:hAnsi="Arial" w:cs="Arial"/>
                <w:sz w:val="20"/>
                <w:szCs w:val="20"/>
              </w:rPr>
              <w:t xml:space="preserve">Gastroskop </w:t>
            </w:r>
            <w:r w:rsidR="00A81FAF" w:rsidRPr="002A53A0">
              <w:rPr>
                <w:rFonts w:ascii="Arial" w:hAnsi="Arial" w:cs="Arial"/>
                <w:sz w:val="20"/>
                <w:szCs w:val="20"/>
              </w:rPr>
              <w:t>BF-Q170</w:t>
            </w:r>
            <w:r w:rsidR="002A53A0" w:rsidRPr="002A53A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95" w:type="dxa"/>
            <w:vAlign w:val="center"/>
          </w:tcPr>
          <w:p w14:paraId="21EE7280" w14:textId="5680F47C" w:rsidR="007911A5" w:rsidRPr="007911A5" w:rsidRDefault="002A53A0" w:rsidP="00B15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A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119" w:type="dxa"/>
          </w:tcPr>
          <w:p w14:paraId="53AB5531" w14:textId="77777777" w:rsidR="007911A5" w:rsidRPr="00EC6CFF" w:rsidRDefault="007911A5" w:rsidP="002D07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CFF" w:rsidRPr="00EC6CFF" w14:paraId="6640D816" w14:textId="77777777" w:rsidTr="008551BB">
        <w:trPr>
          <w:trHeight w:val="439"/>
        </w:trPr>
        <w:tc>
          <w:tcPr>
            <w:tcW w:w="9062" w:type="dxa"/>
            <w:gridSpan w:val="4"/>
            <w:vAlign w:val="center"/>
            <w:hideMark/>
          </w:tcPr>
          <w:p w14:paraId="6CFAA2B5" w14:textId="77777777" w:rsidR="00195FFB" w:rsidRPr="00EC6CFF" w:rsidRDefault="00195FFB" w:rsidP="00B15F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CFF">
              <w:rPr>
                <w:rFonts w:ascii="Arial" w:hAnsi="Arial" w:cs="Arial"/>
                <w:b/>
                <w:bCs/>
                <w:sz w:val="20"/>
                <w:szCs w:val="20"/>
              </w:rPr>
              <w:t>Eksploatacja urządzenia</w:t>
            </w:r>
          </w:p>
        </w:tc>
      </w:tr>
      <w:tr w:rsidR="00EC6CFF" w:rsidRPr="00EC6CFF" w14:paraId="0AABFE7B" w14:textId="77777777" w:rsidTr="00D0212F">
        <w:trPr>
          <w:trHeight w:val="2760"/>
        </w:trPr>
        <w:tc>
          <w:tcPr>
            <w:tcW w:w="717" w:type="dxa"/>
            <w:hideMark/>
          </w:tcPr>
          <w:p w14:paraId="60AEB834" w14:textId="77777777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1.      </w:t>
            </w:r>
          </w:p>
        </w:tc>
        <w:tc>
          <w:tcPr>
            <w:tcW w:w="3531" w:type="dxa"/>
            <w:hideMark/>
          </w:tcPr>
          <w:p w14:paraId="29DD9888" w14:textId="77777777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 xml:space="preserve">Wykonawca zobowiązany jest do dostarczenia wykazu materiałów zużywalnych wraz numerem ref: tj. np.: </w:t>
            </w:r>
            <w:proofErr w:type="spellStart"/>
            <w:r w:rsidRPr="00EC6CFF">
              <w:rPr>
                <w:rFonts w:ascii="Arial" w:hAnsi="Arial" w:cs="Arial"/>
                <w:sz w:val="20"/>
                <w:szCs w:val="20"/>
              </w:rPr>
              <w:t>odprowadzeń</w:t>
            </w:r>
            <w:proofErr w:type="spellEnd"/>
            <w:r w:rsidRPr="00EC6CFF">
              <w:rPr>
                <w:rFonts w:ascii="Arial" w:hAnsi="Arial" w:cs="Arial"/>
                <w:sz w:val="20"/>
                <w:szCs w:val="20"/>
              </w:rPr>
              <w:t xml:space="preserve"> pacjenta, adapterów, końcówek roboczych, płynów kalibracyjnych, elektrod, podkładów do elektrod, drenów, przewodów zasilających, mankietów, łyżek, czujników, modułów, filtrów, węży jednorazowych, igieł </w:t>
            </w:r>
            <w:proofErr w:type="spellStart"/>
            <w:r w:rsidRPr="00EC6CFF">
              <w:rPr>
                <w:rFonts w:ascii="Arial" w:hAnsi="Arial" w:cs="Arial"/>
                <w:sz w:val="20"/>
                <w:szCs w:val="20"/>
              </w:rPr>
              <w:t>insuflacyjnych</w:t>
            </w:r>
            <w:proofErr w:type="spellEnd"/>
            <w:r w:rsidRPr="00EC6CFF">
              <w:rPr>
                <w:rFonts w:ascii="Arial" w:hAnsi="Arial" w:cs="Arial"/>
                <w:sz w:val="20"/>
                <w:szCs w:val="20"/>
              </w:rPr>
              <w:t>, kapturków uszczelniających, przepustnic, nakładek, testów, ustników, oraz wszelkiego rodzaju elementów nie wymienionych powyżej, aczkolwiek wykorzystywanych w trakcie eksploatacji urządzenia, jeżeli są wymagane i występują przy danym sprzęcie. Wykaz musi być kompatybilny z oferowanym sprzętem</w:t>
            </w:r>
          </w:p>
        </w:tc>
        <w:tc>
          <w:tcPr>
            <w:tcW w:w="1695" w:type="dxa"/>
            <w:vAlign w:val="center"/>
            <w:hideMark/>
          </w:tcPr>
          <w:p w14:paraId="353153A0" w14:textId="303A9031" w:rsidR="00195FFB" w:rsidRPr="00EC6CFF" w:rsidRDefault="00CB6B12" w:rsidP="00B15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119" w:type="dxa"/>
            <w:hideMark/>
          </w:tcPr>
          <w:p w14:paraId="40620022" w14:textId="77777777" w:rsidR="00195FFB" w:rsidRPr="00EC6CFF" w:rsidRDefault="00195FFB" w:rsidP="002D0790">
            <w:pPr>
              <w:rPr>
                <w:rFonts w:ascii="Arial" w:hAnsi="Arial" w:cs="Arial"/>
                <w:sz w:val="20"/>
                <w:szCs w:val="20"/>
              </w:rPr>
            </w:pPr>
            <w:r w:rsidRPr="00EC6C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3ACDC3F0" w14:textId="77777777" w:rsidR="00195FFB" w:rsidRDefault="00195FFB"/>
    <w:sectPr w:rsidR="00195FFB" w:rsidSect="008453F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394BF1"/>
    <w:multiLevelType w:val="hybridMultilevel"/>
    <w:tmpl w:val="28CEEF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0470D0"/>
    <w:multiLevelType w:val="hybridMultilevel"/>
    <w:tmpl w:val="428444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5552508">
    <w:abstractNumId w:val="1"/>
  </w:num>
  <w:num w:numId="2" w16cid:durableId="1381901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37"/>
    <w:rsid w:val="00025F8C"/>
    <w:rsid w:val="00090725"/>
    <w:rsid w:val="000A4B9A"/>
    <w:rsid w:val="000B38F6"/>
    <w:rsid w:val="00195FFB"/>
    <w:rsid w:val="001E0E52"/>
    <w:rsid w:val="00242815"/>
    <w:rsid w:val="002A53A0"/>
    <w:rsid w:val="002B5D41"/>
    <w:rsid w:val="003236C7"/>
    <w:rsid w:val="0040375D"/>
    <w:rsid w:val="00454337"/>
    <w:rsid w:val="007911A5"/>
    <w:rsid w:val="007C40CC"/>
    <w:rsid w:val="007D0ABD"/>
    <w:rsid w:val="008401A9"/>
    <w:rsid w:val="008453FB"/>
    <w:rsid w:val="008551BB"/>
    <w:rsid w:val="008E7402"/>
    <w:rsid w:val="00A81FAF"/>
    <w:rsid w:val="00B14C7F"/>
    <w:rsid w:val="00B15FFB"/>
    <w:rsid w:val="00CB0C0F"/>
    <w:rsid w:val="00CB6B12"/>
    <w:rsid w:val="00D0212F"/>
    <w:rsid w:val="00EC6CFF"/>
    <w:rsid w:val="00F8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1B90"/>
  <w15:chartTrackingRefBased/>
  <w15:docId w15:val="{834D1882-E5B7-459F-AA09-7D1A0F52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4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6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58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A753E-C558-45C9-8606-939706A83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 Michał</dc:creator>
  <cp:keywords/>
  <dc:description/>
  <cp:lastModifiedBy>Anna Guła</cp:lastModifiedBy>
  <cp:revision>18</cp:revision>
  <dcterms:created xsi:type="dcterms:W3CDTF">2024-03-25T10:37:00Z</dcterms:created>
  <dcterms:modified xsi:type="dcterms:W3CDTF">2024-03-28T11:29:00Z</dcterms:modified>
</cp:coreProperties>
</file>