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045E" w14:textId="402EB2B2" w:rsidR="00952385" w:rsidRDefault="00115697" w:rsidP="00036C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Przedmiot zamówienia</w:t>
      </w:r>
      <w:r>
        <w:rPr>
          <w:rFonts w:ascii="Arial" w:hAnsi="Arial" w:cs="Arial"/>
        </w:rPr>
        <w:t xml:space="preserve">: </w:t>
      </w:r>
      <w:r w:rsidR="00BC0A05">
        <w:rPr>
          <w:rFonts w:ascii="Arial" w:hAnsi="Arial" w:cs="Arial"/>
        </w:rPr>
        <w:t>Zakup i dostawa</w:t>
      </w:r>
      <w:r w:rsidRPr="00BD53C3">
        <w:rPr>
          <w:rFonts w:ascii="Arial" w:hAnsi="Arial" w:cs="Arial"/>
        </w:rPr>
        <w:t xml:space="preserve"> sprzętu medycznego realizowanego w ramach zadania pn. „Modernizacja i zakupy inwestycyjne w</w:t>
      </w:r>
      <w:r>
        <w:rPr>
          <w:rFonts w:ascii="Arial" w:hAnsi="Arial" w:cs="Arial"/>
        </w:rPr>
        <w:t xml:space="preserve"> Miejskim Szpitalu Zespolonym w </w:t>
      </w:r>
      <w:r w:rsidRPr="00BD53C3">
        <w:rPr>
          <w:rFonts w:ascii="Arial" w:hAnsi="Arial" w:cs="Arial"/>
        </w:rPr>
        <w:t>Częstochowie, w tym wdrożenie e-usług w Miejskim Szpitalu Zespolonym w Częstochowie (</w:t>
      </w:r>
      <w:r w:rsidR="00EE240C">
        <w:rPr>
          <w:rFonts w:ascii="Arial" w:hAnsi="Arial" w:cs="Arial"/>
        </w:rPr>
        <w:t>1</w:t>
      </w:r>
      <w:r w:rsidRPr="00BD53C3">
        <w:rPr>
          <w:rFonts w:ascii="Arial" w:hAnsi="Arial" w:cs="Arial"/>
        </w:rPr>
        <w:t xml:space="preserve"> pakiet).</w:t>
      </w:r>
    </w:p>
    <w:p w14:paraId="57CEC01A" w14:textId="77777777" w:rsidR="00C175F0" w:rsidRPr="00093EB0" w:rsidRDefault="00C175F0" w:rsidP="00036C4D">
      <w:pPr>
        <w:spacing w:after="0"/>
        <w:jc w:val="both"/>
        <w:rPr>
          <w:rFonts w:ascii="Arial" w:hAnsi="Arial" w:cs="Arial"/>
        </w:rPr>
      </w:pP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4"/>
        <w:gridCol w:w="5428"/>
        <w:gridCol w:w="47"/>
        <w:gridCol w:w="1937"/>
        <w:gridCol w:w="48"/>
        <w:gridCol w:w="2409"/>
      </w:tblGrid>
      <w:tr w:rsidR="00CD5D2F" w:rsidRPr="00093EB0" w14:paraId="3898074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A324DAA" w14:textId="77777777" w:rsidR="00CD5D2F" w:rsidRPr="00093EB0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93EB0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6DA191F" w14:textId="77777777" w:rsidR="00CD5D2F" w:rsidRPr="00093EB0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93EB0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802941A" w14:textId="77777777" w:rsidR="00CD5D2F" w:rsidRPr="00093EB0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93EB0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5F87B1E" w14:textId="77777777" w:rsidR="00CD5D2F" w:rsidRPr="00093EB0" w:rsidRDefault="00576CC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93EB0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7F7F9E" w:rsidRPr="00093EB0" w14:paraId="74DA5989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3B5C701C" w14:textId="77777777" w:rsidR="007F7F9E" w:rsidRPr="00093EB0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14:paraId="6445ADEC" w14:textId="0B3E14D1" w:rsidR="007F7F9E" w:rsidRPr="00093EB0" w:rsidRDefault="00254773" w:rsidP="00666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93EB0">
              <w:rPr>
                <w:rFonts w:ascii="Arial" w:eastAsia="Times New Roman" w:hAnsi="Arial" w:cs="Arial"/>
                <w:b/>
                <w:lang w:eastAsia="pl-PL"/>
              </w:rPr>
              <w:t xml:space="preserve">Pakiet nr </w:t>
            </w:r>
            <w:r w:rsidR="00EE240C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602E2913" w14:textId="77777777" w:rsidR="007F7F9E" w:rsidRPr="00093EB0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5EA9EC8" w14:textId="77777777" w:rsidR="007F7F9E" w:rsidRPr="00093EB0" w:rsidRDefault="007F7F9E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D5D2F" w:rsidRPr="00093EB0" w14:paraId="1BED826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77A9D8C6" w14:textId="35B54DA4" w:rsidR="00CD5D2F" w:rsidRPr="00093EB0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93EB0">
              <w:rPr>
                <w:rFonts w:ascii="Arial" w:eastAsia="Times New Roman" w:hAnsi="Arial" w:cs="Arial"/>
                <w:b/>
                <w:lang w:eastAsia="pl-PL"/>
              </w:rPr>
              <w:t> I</w:t>
            </w:r>
            <w:r w:rsidR="006667D0">
              <w:rPr>
                <w:rFonts w:ascii="Arial" w:eastAsia="Times New Roman" w:hAnsi="Arial" w:cs="Arial"/>
                <w:b/>
                <w:lang w:eastAsia="pl-PL"/>
              </w:rPr>
              <w:t>II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49EE1572" w14:textId="44009A6F" w:rsidR="00CD5D2F" w:rsidRPr="00BC0A05" w:rsidRDefault="00007CD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Myjnia do kaczek i basenów</w:t>
            </w:r>
            <w:r w:rsidR="007506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4DB99772" w14:textId="77777777" w:rsidR="00CD5D2F" w:rsidRPr="00BC0A05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3F3D2DE" w14:textId="77777777" w:rsidR="00CD5D2F" w:rsidRPr="00BC0A05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</w:tc>
      </w:tr>
      <w:tr w:rsidR="00891DE1" w:rsidRPr="00093EB0" w14:paraId="30834286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E857" w14:textId="61F64396" w:rsidR="00891DE1" w:rsidRPr="00007CD7" w:rsidRDefault="00891DE1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E2F" w14:textId="77777777" w:rsidR="00891DE1" w:rsidRPr="00BC0A05" w:rsidRDefault="00891DE1" w:rsidP="001573A1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A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Producent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5433" w14:textId="77777777" w:rsidR="00891DE1" w:rsidRPr="00BC0A05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47F" w14:textId="77777777" w:rsidR="00891DE1" w:rsidRPr="00BC0A05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093EB0" w14:paraId="20C748CE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E838" w14:textId="3F8BCE8C" w:rsidR="00891DE1" w:rsidRPr="00007CD7" w:rsidRDefault="00891DE1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82" w14:textId="77777777" w:rsidR="00891DE1" w:rsidRPr="00BC0A05" w:rsidRDefault="00891DE1" w:rsidP="001573A1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A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 pochodzenia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A6BD" w14:textId="77777777" w:rsidR="00891DE1" w:rsidRPr="00BC0A05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D64" w14:textId="77777777" w:rsidR="00891DE1" w:rsidRPr="00BC0A05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093EB0" w14:paraId="5955A3B7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D883" w14:textId="717FB0C4" w:rsidR="00891DE1" w:rsidRPr="00007CD7" w:rsidRDefault="00891DE1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C9F" w14:textId="240EF722" w:rsidR="00891DE1" w:rsidRPr="007506BE" w:rsidRDefault="00891DE1" w:rsidP="001573A1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b/>
                <w:bCs/>
                <w:sz w:val="20"/>
                <w:szCs w:val="20"/>
              </w:rPr>
              <w:t>Rok produkcji</w:t>
            </w:r>
            <w:r w:rsidR="007506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06BE">
              <w:rPr>
                <w:rFonts w:ascii="Arial" w:hAnsi="Arial" w:cs="Arial"/>
                <w:sz w:val="20"/>
                <w:szCs w:val="20"/>
              </w:rPr>
              <w:t>(nie starszy niż 2022)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979F" w14:textId="77777777" w:rsidR="00891DE1" w:rsidRPr="00BC0A05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0E0" w14:textId="77777777" w:rsidR="00891DE1" w:rsidRPr="00BC0A05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093EB0" w14:paraId="74CE9145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845D" w14:textId="4AAD3C39" w:rsidR="00891DE1" w:rsidRPr="00007CD7" w:rsidRDefault="00891DE1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84D" w14:textId="4367034C" w:rsidR="00891DE1" w:rsidRPr="00BC0A05" w:rsidRDefault="00007CD7" w:rsidP="001573A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Myjnia do Kaczek i basenów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5DFA" w14:textId="77777777" w:rsidR="00891DE1" w:rsidRPr="00BC0A05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3157" w14:textId="77777777" w:rsidR="00891DE1" w:rsidRPr="00BC0A05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038B7" w:rsidRPr="00093EB0" w14:paraId="72383041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B14" w14:textId="72EC3BA2" w:rsidR="009038B7" w:rsidRPr="00007CD7" w:rsidRDefault="009038B7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03F" w14:textId="40CF3786" w:rsidR="009038B7" w:rsidRPr="00EE240C" w:rsidRDefault="00EE240C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Model wolnostojący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A48" w14:textId="77777777" w:rsidR="009038B7" w:rsidRPr="00BC0A05" w:rsidRDefault="009038B7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B3E" w14:textId="77777777" w:rsidR="009038B7" w:rsidRPr="00BC0A05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093EB0" w14:paraId="26D6B30E" w14:textId="77777777" w:rsidTr="00BC0A05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196F" w14:textId="6BB8A963" w:rsidR="009038B7" w:rsidRPr="00007CD7" w:rsidRDefault="009038B7" w:rsidP="003052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9FD9" w14:textId="0118D8AF" w:rsidR="009038B7" w:rsidRPr="00EE240C" w:rsidRDefault="00EE240C" w:rsidP="00BC0A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Fabrycznie nowe urządzenie przeznaczone do opróżniania, mycia, suszenia i dezynfekcji termicznej pojemników na odpady pochodzenia ludzkiego i innych naczyń sanitarnych.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30A9" w14:textId="77777777" w:rsidR="009038B7" w:rsidRPr="00BC0A05" w:rsidRDefault="009038B7" w:rsidP="001156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7B4B" w14:textId="77777777" w:rsidR="009038B7" w:rsidRPr="00BC0A05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</w:p>
        </w:tc>
      </w:tr>
      <w:tr w:rsidR="00EE240C" w:rsidRPr="00093EB0" w14:paraId="6F271D22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C84" w14:textId="26473EC4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47B4" w14:textId="77777777" w:rsidR="00EE240C" w:rsidRPr="00EE240C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Minimalna pojemność komory: </w:t>
            </w:r>
          </w:p>
          <w:p w14:paraId="7FD1B082" w14:textId="77777777" w:rsidR="00EE240C" w:rsidRPr="00EE240C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jeden basen z pokrywką + jedna kaczka </w:t>
            </w:r>
          </w:p>
          <w:p w14:paraId="2A6D6F8D" w14:textId="77777777" w:rsidR="00EE240C" w:rsidRPr="00EE240C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trzy kaczki</w:t>
            </w:r>
          </w:p>
          <w:p w14:paraId="334141EC" w14:textId="435D45AB" w:rsidR="00EE240C" w:rsidRPr="00EE240C" w:rsidRDefault="00EE240C" w:rsidP="00EE240C">
            <w:pPr>
              <w:tabs>
                <w:tab w:val="left" w:pos="153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(możliwość mycia basenów podłużnych o długości</w:t>
            </w:r>
            <w:r w:rsidRPr="00EE240C">
              <w:rPr>
                <w:rFonts w:ascii="Arial" w:eastAsia="Times New Roman" w:hAnsi="Arial" w:cs="Arial"/>
                <w:szCs w:val="20"/>
                <w:lang w:eastAsia="pl-PL"/>
              </w:rPr>
              <w:t xml:space="preserve"> </w:t>
            </w: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 cm, butli do ssaków, małych misek itp. 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686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0F0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1E2B6C95" w14:textId="77777777" w:rsidTr="00DF43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9929" w14:textId="163FAC2A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A4D1" w14:textId="7255E2AE" w:rsidR="00EE240C" w:rsidRPr="00EE240C" w:rsidRDefault="00EE240C" w:rsidP="00EE24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Konstrukcja komory wykonana ze stali kwasoodpornej typu AISI 316 (1.4401) lub lepszej gatunkowo.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77B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A68D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69FD335C" w14:textId="77777777" w:rsidTr="00650B5D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F43" w14:textId="23BC7B43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AA7A" w14:textId="21A3CFEA" w:rsidR="00EE240C" w:rsidRPr="00EE240C" w:rsidRDefault="00EE240C" w:rsidP="00EE24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Obudowa urządzenia wykonana ze stali kwasoodpornej typu AISI 304 (1.4301) lub lepszej gatunkowo.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0DF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8A22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3121F13B" w14:textId="77777777" w:rsidTr="009E57A5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37AD" w14:textId="10D16F11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A6DD" w14:textId="0FFBEC49" w:rsidR="00EE240C" w:rsidRPr="00EE240C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Konstrukcja wewnętrzna komory bez ostrych krawędzi, narożników i spoin. Wykonana jako głęboko tłoczony monolit z nachylonym sufitem ułatwiającym spływanie.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7B33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5B86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723B111A" w14:textId="77777777" w:rsidTr="003818E2">
        <w:trPr>
          <w:trHeight w:val="439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E32" w14:textId="4D9E9BB8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F53C" w14:textId="1A17EEB9" w:rsidR="00EE240C" w:rsidRPr="00EE240C" w:rsidRDefault="00EE240C" w:rsidP="00EE24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Komora izolowana termicznie i akustycznie materiałem o grubości min. 1 cm.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2A3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25D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6ED69305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1472" w14:textId="2E3B8DF2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38F2" w14:textId="1AF032CF" w:rsidR="00EE240C" w:rsidRPr="00EE240C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Maksymalny dopuszczalny poziom hałasu 55 </w:t>
            </w:r>
            <w:proofErr w:type="spellStart"/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dB</w:t>
            </w:r>
            <w:proofErr w:type="spellEnd"/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8C74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37C1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7025E172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1197" w14:textId="3DC15448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A18E" w14:textId="31CE6BB7" w:rsidR="00EE240C" w:rsidRPr="00EE240C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natryskowy komory wyposażony w minimum 11 dysz ciśnieniowych (w tym minimum 5 obrotowych). Nie dopuszcza się ramion natryskowych.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73F0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B69A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54BB8A0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D8C2" w14:textId="3CCB200E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7E8A" w14:textId="3D5FB324" w:rsidR="00EE240C" w:rsidRPr="00EE240C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Główna dysza myjąca usytuowana na tylnej ścianie komory w sposób zapewniający mycie wewnętrznych powierzchni basenów podłużnych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5BE9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C314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7F7AFC8C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8F2E" w14:textId="57998104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AC16" w14:textId="01B6E7D9" w:rsidR="00EE240C" w:rsidRPr="00EE240C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Dysza główna bez ruchomych elementów teleskopowych.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6955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DB90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6F0F3F01" w14:textId="77777777" w:rsidTr="0058510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93E0" w14:textId="36F75EAE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CC84" w14:textId="150D36A6" w:rsidR="00EE240C" w:rsidRPr="00EE240C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Drzwi uchylne, na przedniej ścianie urządzenia,  otwierane i zamykane ręcznie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E37B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C585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051DF8E5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F257" w14:textId="4AF80616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B983" w14:textId="4F5B3180" w:rsidR="00EE240C" w:rsidRPr="00EE240C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Uszczelka drzwiowa labiryntowa wykonana w postaci kanału ze stali kwasoodpornej bezobsługowa(niewymagająca przeglądów i wymiany, odporna na uszkodzenia mechaniczne).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C27C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FE77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325ADEE2" w14:textId="77777777" w:rsidTr="00891BD2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1E9D" w14:textId="280E61C5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0F4B" w14:textId="03F178AD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Blokada drzwi przez cały czas trwania cyklu- drzwi mogą zostać otwarte dopiero po zakończeniu wszystkich faz procesu mycia i dezynfekcji.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8837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62E6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29566822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48F5" w14:textId="4AC98BFF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DC70" w14:textId="039DB6F2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regulacji dezynfekcji termicznej w zakresie do 93°C włącznie (z możliwością uzyskania dezynfekcji termicznej A0=600)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6AB5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A089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2420F013" w14:textId="77777777" w:rsidTr="0063629E">
        <w:trPr>
          <w:trHeight w:val="639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BB50" w14:textId="310C8FC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D988" w14:textId="320F87AB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uzyskania poziomu dezynfekcji termicznej typu A0=3000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1EC7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B98C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5F9CB6A4" w14:textId="77777777" w:rsidTr="007577A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C866" w14:textId="5C5F45DA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7EF" w14:textId="58F2D9F9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Możliwość usuwania spor </w:t>
            </w:r>
            <w:r w:rsidRPr="000A474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Clostridium </w:t>
            </w:r>
            <w:proofErr w:type="spellStart"/>
            <w:r w:rsidRPr="000A474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difficile</w:t>
            </w:r>
            <w:proofErr w:type="spellEnd"/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dzięki zastosowaniu dezynfekcji termicznej na poziomie A0=3000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4596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456A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02C83BC0" w14:textId="77777777" w:rsidTr="00376114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A831" w14:textId="4E07B641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27E2" w14:textId="0C6C805B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3 w pełni automatyczne programy użytkowe wybierane bezpośrednio z klawiatury sterującej za pomocą trzech oddzielnych przycisków.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D8E7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A8E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4F61A2EA" w14:textId="77777777" w:rsidTr="00BC0A05">
        <w:trPr>
          <w:trHeight w:val="41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F723" w14:textId="18E7B155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D103" w14:textId="2BED9EAD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Panel sterujący z przyciskami membranowymi umiejscowiony na frontowej ścianie urządzenia.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1BA9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E562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2A66E4E3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BB54" w14:textId="0B8ADBEE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7AED" w14:textId="5D00AA08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Wszystkie programy mycia zakończone fazą dezynfekcji termicznej.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C837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B1F5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5FDE872D" w14:textId="77777777" w:rsidTr="005B3BA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ACFC" w14:textId="6923E8F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1531" w14:textId="6B835F2F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Czas programów mycia i dezynfekcji  5-8 minut. ( Przy zasilaniu trójfazowym)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C3E1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68B9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470FD2C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C0DB" w14:textId="21AD2BB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86E6" w14:textId="2B9891C8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Średnie zużycie wody dla programu standardowego 18l/cykl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EA6B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BB94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29A62939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67CC" w14:textId="0B72D91C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E3D7" w14:textId="36902390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Wyposażony w uniwersalny kosz załadowczy z możliwością wysunięcia kosza z uchwytów i zamiany na kosz innego typu bez użycia narzędzi.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63B5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DDC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7A4A4F5E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F32C" w14:textId="4FFFC18A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CA6F" w14:textId="27B2CC6A" w:rsidR="00EE240C" w:rsidRPr="00BC0A05" w:rsidRDefault="00EE240C" w:rsidP="00EE240C">
            <w:pPr>
              <w:snapToGrid w:val="0"/>
              <w:spacing w:after="0" w:line="240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Konstrukcja kosza załadowczego powodująca opróżnianie załadunku z nieczystości przy zamykaniu drzwi komory.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C9EE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A5D9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5E919C18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CBAD" w14:textId="21B0B815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6F82" w14:textId="77EEA7AE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SimSun" w:hAnsi="Arial" w:cs="Arial"/>
                <w:sz w:val="20"/>
                <w:szCs w:val="20"/>
                <w:lang w:eastAsia="hi-IN"/>
              </w:rPr>
              <w:t>Sterownik mikroprocesorowy.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A8E3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046E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2D30E6DD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1E09" w14:textId="1392B52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0688" w14:textId="5A234ECF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SimSun" w:hAnsi="Arial" w:cs="Arial"/>
                <w:color w:val="000000"/>
                <w:sz w:val="20"/>
                <w:szCs w:val="20"/>
                <w:lang w:eastAsia="hi-IN"/>
              </w:rPr>
              <w:t>Sterownik wyposażony w dwulinijkowy wyświetlacz pozwalający na wyświetlanie komunikatów tekstowych minimum 15 znaków w każdej linii.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38EB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5AFA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7D5D710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6F0C" w14:textId="7E3C637E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F320" w14:textId="49644CC4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wyświetlaczu informacje o: stanie urządzenia, temperaturze w komorze mycia, błędach.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15AC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BDA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7D92E03A" w14:textId="77777777" w:rsidTr="00F30793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8B57" w14:textId="6DC1E02B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4213" w14:textId="77CD4164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Elektroniczny system kontroli temperatury w komorze w oparciu o czujnik temperatury.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8F4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519D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0D5343CC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E054" w14:textId="41C1B42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F1D9" w14:textId="3FCA9D48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Wewnętrzna automatyczna dezynfekcja termiczna wszystkich rur odprowadzających wodę do dysz strumieniowych – dystrybucja pary przez system dysz myjących.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EB12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F830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7FDB2F20" w14:textId="77777777" w:rsidTr="000A604A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B456" w14:textId="3F29109D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2F2B" w14:textId="609B3885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Pompa dozująca płynny środek myjąco-</w:t>
            </w:r>
            <w:proofErr w:type="spellStart"/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odkamieniający</w:t>
            </w:r>
            <w:proofErr w:type="spellEnd"/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5BFE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CACE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69BA5CD3" w14:textId="77777777" w:rsidTr="009D533F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ED37" w14:textId="256F25B6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23EE" w14:textId="46D8AE38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Efektywny proces płukania, mycia i dezynfekcji przy zastosowaniu wyłącznie jednego środka myjąco-</w:t>
            </w:r>
            <w:proofErr w:type="spellStart"/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odkamieniającego</w:t>
            </w:r>
            <w:proofErr w:type="spellEnd"/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5035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C691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2FAA4345" w14:textId="77777777" w:rsidTr="00812073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F4AD" w14:textId="34068651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6B83" w14:textId="653CC7A8" w:rsidR="00EE240C" w:rsidRPr="00EE240C" w:rsidRDefault="00EE240C" w:rsidP="00EE240C">
            <w:pPr>
              <w:spacing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Wydajność pompy myjącej min. 400 l/min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522F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CDDB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6E900CBF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95FC" w14:textId="7777777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07E9" w14:textId="04E36F75" w:rsidR="00EE240C" w:rsidRPr="000A474E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 Urządzenia:</w:t>
            </w:r>
          </w:p>
          <w:p w14:paraId="7B7556F9" w14:textId="2ECC60DC" w:rsidR="00EE240C" w:rsidRPr="000A474E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szerokość 50 cm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±5%</w:t>
            </w:r>
          </w:p>
          <w:p w14:paraId="5F968CC9" w14:textId="3A8AA488" w:rsidR="00EE240C" w:rsidRPr="000A474E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głębokość 45 cm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±5%</w:t>
            </w:r>
          </w:p>
          <w:p w14:paraId="0296D9D0" w14:textId="53F64D49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wysokość </w:t>
            </w:r>
            <w:r w:rsidRPr="000A474E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0A47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</w:t>
            </w:r>
            <w:r w:rsidRPr="000A474E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±5%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BE4D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8397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5D0A081E" w14:textId="77777777" w:rsidTr="00F65EC3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14E2" w14:textId="7777777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ED8D" w14:textId="30939FEF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Odpływ kanalizacyjny w myjni 100 mm. Myjnia wyposażona w rurę odpływową.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370E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DF3D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754426E6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2E4" w14:textId="7777777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325B" w14:textId="0950CC82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Myjnia wyposażona w przyłącze wody ciepłej i zimnej (w zestawie komplet węży zasilających).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6FE8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C486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0D175AFE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CF7A" w14:textId="7777777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1BFD" w14:textId="518C051C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Wbudowana szafka na detergenty znajdująca się bezpośrednio pod komorą urządzenia.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9A3F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2B7F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5A26263D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3643" w14:textId="7777777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7058" w14:textId="0EC373F9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Zasilanie elektryczne 400V, 50 </w:t>
            </w:r>
            <w:proofErr w:type="spellStart"/>
            <w:r w:rsidRPr="000A4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Hz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CF29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4704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67B24175" w14:textId="77777777" w:rsidTr="00407F04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42ED" w14:textId="38999F18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Dodatkowy Asortyment</w:t>
            </w:r>
          </w:p>
        </w:tc>
      </w:tr>
      <w:tr w:rsidR="00EE240C" w:rsidRPr="00093EB0" w14:paraId="02A200C4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9623" w14:textId="77777777" w:rsidR="00EE240C" w:rsidRPr="00007CD7" w:rsidRDefault="00EE240C" w:rsidP="00EE24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8086" w14:textId="23BB06F4" w:rsidR="00EE240C" w:rsidRPr="00BC0A05" w:rsidRDefault="00347285" w:rsidP="00EE24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 kanistrów 5l chemii kompatybilnej z proponowanym urządzeniem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7D48" w14:textId="3603D6D5" w:rsidR="00EE240C" w:rsidRPr="00BC0A05" w:rsidRDefault="00347285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FC82" w14:textId="77777777" w:rsidR="00EE240C" w:rsidRPr="00BC0A05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240C" w:rsidRPr="00093EB0" w14:paraId="5C4B44A7" w14:textId="77777777" w:rsidTr="00BC0A05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EE7E5C" w14:textId="77777777" w:rsidR="00EE240C" w:rsidRPr="00093EB0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724CB6" w14:textId="77777777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b/>
                <w:sz w:val="20"/>
                <w:szCs w:val="20"/>
              </w:rPr>
              <w:t>Gwarancja i Serwis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F5D249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1123" w14:textId="77777777" w:rsidR="00EE240C" w:rsidRPr="00093EB0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E240C" w:rsidRPr="00093EB0" w14:paraId="05D87E98" w14:textId="77777777" w:rsidTr="00036C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ABCF" w14:textId="77777777" w:rsidR="00EE240C" w:rsidRPr="00093EB0" w:rsidRDefault="00EE240C" w:rsidP="00EE24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08AD" w14:textId="1291FD9E" w:rsidR="00EE240C" w:rsidRPr="00BC0A05" w:rsidRDefault="00EE240C" w:rsidP="00EE240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Okres gwarancji min. 24 miesiące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4F1" w14:textId="321F400A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133" w14:textId="77777777" w:rsidR="00EE240C" w:rsidRPr="00093EB0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E240C" w:rsidRPr="00093EB0" w14:paraId="22707002" w14:textId="77777777" w:rsidTr="0011569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142" w14:textId="77777777" w:rsidR="00EE240C" w:rsidRPr="00093EB0" w:rsidRDefault="00EE240C" w:rsidP="00EE24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98FB" w14:textId="77777777" w:rsidR="00EE240C" w:rsidRPr="00BC0A05" w:rsidRDefault="00EE240C" w:rsidP="00EE240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Autoryzowany serwis gwarancyjny i pogwarancyjny na terenie Polski. Wykonawca musi podać własny lub zewnętrzny serwis. Podać nazwę, adres, telefon kontaktowy wraz z dokumentacją potwierdzającą autoryzację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8D28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550" w14:textId="77777777" w:rsidR="00EE240C" w:rsidRPr="00093EB0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E240C" w:rsidRPr="00093EB0" w14:paraId="46FDD166" w14:textId="77777777" w:rsidTr="00BC0A05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BB11" w14:textId="77777777" w:rsidR="00EE240C" w:rsidRPr="00093EB0" w:rsidRDefault="00EE240C" w:rsidP="00EE24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59CF" w14:textId="336F22D1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 xml:space="preserve">Czas reakcji serwisu od zgłoszonej usterki max </w:t>
            </w:r>
            <w:r>
              <w:rPr>
                <w:rFonts w:ascii="Arial" w:hAnsi="Arial" w:cs="Arial"/>
                <w:sz w:val="20"/>
                <w:szCs w:val="20"/>
              </w:rPr>
              <w:t>2 dni robocze</w:t>
            </w:r>
            <w:r w:rsidRPr="00BC0A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43DA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A2A" w14:textId="77777777" w:rsidR="00EE240C" w:rsidRPr="00093EB0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E240C" w:rsidRPr="00093EB0" w14:paraId="78E88F4F" w14:textId="77777777" w:rsidTr="0011569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6FE5D" w14:textId="77777777" w:rsidR="00EE240C" w:rsidRPr="00093EB0" w:rsidRDefault="00EE240C" w:rsidP="00EE24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F420" w14:textId="6C1BD663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Podać częstotliwość wymaganych przez producenta przeglądów w danym okresie czasu – jeżeli jest wymagany. Ponadto zamawiający wymaga dostarczenia paszportu technicznego wraz z dostawą.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4E43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3A1" w14:textId="77777777" w:rsidR="00EE240C" w:rsidRPr="00093EB0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E240C" w:rsidRPr="00093EB0" w14:paraId="24C4E7FD" w14:textId="77777777" w:rsidTr="0011569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AFE8" w14:textId="77777777" w:rsidR="00EE240C" w:rsidRPr="00093EB0" w:rsidRDefault="00EE240C" w:rsidP="00EE24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0177" w14:textId="77777777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162F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EEE6" w14:textId="77777777" w:rsidR="00EE240C" w:rsidRPr="00093EB0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E240C" w:rsidRPr="00093EB0" w14:paraId="1B6069F6" w14:textId="77777777" w:rsidTr="0011569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4A71C" w14:textId="77777777" w:rsidR="00EE240C" w:rsidRPr="00093EB0" w:rsidRDefault="00EE240C" w:rsidP="00EE24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9A9E" w14:textId="77777777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50C6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B0AB" w14:textId="77777777" w:rsidR="00EE240C" w:rsidRPr="00093EB0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E240C" w:rsidRPr="00093EB0" w14:paraId="7EA2B5BE" w14:textId="77777777" w:rsidTr="00115697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DD40A" w14:textId="77777777" w:rsidR="00EE240C" w:rsidRPr="00093EB0" w:rsidRDefault="00EE240C" w:rsidP="00EE24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C5D05" w14:textId="77777777" w:rsidR="00EE240C" w:rsidRPr="00BC0A05" w:rsidRDefault="00EE240C" w:rsidP="00EE2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>W ramach wynagrodzenia dostawa i uruchomienie sprzętu wraz z instalacją, oraz przeszkolenie personelu medycznego w zakresie eksploatacji i obsługi.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7D68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A89" w14:textId="77777777" w:rsidR="00EE240C" w:rsidRPr="00093EB0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E240C" w:rsidRPr="00093EB0" w14:paraId="3A8BC8A9" w14:textId="77777777" w:rsidTr="00036C4D">
        <w:trPr>
          <w:trHeight w:val="27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34145" w14:textId="77777777" w:rsidR="00EE240C" w:rsidRPr="00BC0A05" w:rsidRDefault="00EE240C" w:rsidP="00EE240C">
            <w:pPr>
              <w:spacing w:after="0" w:line="240" w:lineRule="auto"/>
              <w:ind w:left="639"/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</w:pPr>
            <w:proofErr w:type="spellStart"/>
            <w:r w:rsidRPr="00BC0A05"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>Eksploatacja</w:t>
            </w:r>
            <w:proofErr w:type="spellEnd"/>
            <w:r w:rsidRPr="00BC0A05"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C0A05"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>urządzenia</w:t>
            </w:r>
            <w:proofErr w:type="spellEnd"/>
          </w:p>
        </w:tc>
      </w:tr>
      <w:tr w:rsidR="00EE240C" w:rsidRPr="00093EB0" w14:paraId="4BB9A956" w14:textId="77777777" w:rsidTr="0011569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DD802" w14:textId="42118DFD" w:rsidR="00EE240C" w:rsidRPr="00093EB0" w:rsidRDefault="00EE240C" w:rsidP="00EE240C">
            <w:pPr>
              <w:pStyle w:val="Akapitzlist"/>
              <w:spacing w:after="0" w:line="240" w:lineRule="auto"/>
              <w:ind w:left="72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BB0" w14:textId="77777777" w:rsidR="00EE240C" w:rsidRPr="00BC0A05" w:rsidRDefault="00EE240C" w:rsidP="00EE24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0A05">
              <w:rPr>
                <w:rFonts w:ascii="Arial" w:hAnsi="Arial" w:cs="Arial"/>
                <w:sz w:val="20"/>
                <w:szCs w:val="20"/>
              </w:rPr>
              <w:t xml:space="preserve">Wykonawca zobowiązany jest do dostarczenia wykazu materiałów zużywalnych wraz numerem ref: tj. np.: </w:t>
            </w:r>
            <w:proofErr w:type="spellStart"/>
            <w:r w:rsidRPr="00BC0A05">
              <w:rPr>
                <w:rFonts w:ascii="Arial" w:hAnsi="Arial" w:cs="Arial"/>
                <w:sz w:val="20"/>
                <w:szCs w:val="20"/>
              </w:rPr>
              <w:t>odprowadzeń</w:t>
            </w:r>
            <w:proofErr w:type="spellEnd"/>
            <w:r w:rsidRPr="00BC0A05">
              <w:rPr>
                <w:rFonts w:ascii="Arial" w:hAnsi="Arial" w:cs="Arial"/>
                <w:sz w:val="20"/>
                <w:szCs w:val="20"/>
              </w:rPr>
              <w:t xml:space="preserve"> pacjenta, adapterów, końcówek roboczych, płynów kalibracyjnych, elektrod, podkładów do elektrod, drenów, przewodów zasilających, mankietów, łyżek, czujników, modułów, filtrów, węży jednorazowych, igieł </w:t>
            </w:r>
            <w:proofErr w:type="spellStart"/>
            <w:r w:rsidRPr="00BC0A05">
              <w:rPr>
                <w:rFonts w:ascii="Arial" w:hAnsi="Arial" w:cs="Arial"/>
                <w:sz w:val="20"/>
                <w:szCs w:val="20"/>
              </w:rPr>
              <w:t>insuflacyjnych</w:t>
            </w:r>
            <w:proofErr w:type="spellEnd"/>
            <w:r w:rsidRPr="00BC0A05">
              <w:rPr>
                <w:rFonts w:ascii="Arial" w:hAnsi="Arial" w:cs="Arial"/>
                <w:sz w:val="20"/>
                <w:szCs w:val="20"/>
              </w:rPr>
              <w:t>, kapturków uszczelniających, przepustnic, nakładek, testów, ustników, oraz wszelkiego rodzaju elementów nie wymienionych powyżej, aczkolwiek wykorzystywanych w trakcie eksploatacji urządzenia, jeżeli są wymagane i występują przy danym sprzęcie. Wykaz musi być kompatybilny z oferowanym sprzętem</w:t>
            </w:r>
            <w:r w:rsidRPr="00BC0A05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92F0" w14:textId="77777777" w:rsidR="00EE240C" w:rsidRPr="00BC0A05" w:rsidRDefault="00EE240C" w:rsidP="00EE2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0A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D46" w14:textId="77777777" w:rsidR="00EE240C" w:rsidRPr="00093EB0" w:rsidRDefault="00EE240C" w:rsidP="00EE240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</w:tbl>
    <w:p w14:paraId="34DBB0EE" w14:textId="77777777" w:rsidR="00CD5D2F" w:rsidRPr="00093EB0" w:rsidRDefault="00CD5D2F" w:rsidP="001573A1">
      <w:pPr>
        <w:spacing w:line="240" w:lineRule="auto"/>
        <w:rPr>
          <w:rFonts w:ascii="Arial" w:hAnsi="Arial" w:cs="Arial"/>
        </w:rPr>
      </w:pPr>
    </w:p>
    <w:sectPr w:rsidR="00CD5D2F" w:rsidRPr="00093EB0" w:rsidSect="00036C4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1C2"/>
    <w:multiLevelType w:val="hybridMultilevel"/>
    <w:tmpl w:val="76BC9B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DD5179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E0860"/>
    <w:multiLevelType w:val="hybridMultilevel"/>
    <w:tmpl w:val="E818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784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161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164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0517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1"/>
    <w:rsid w:val="00006D26"/>
    <w:rsid w:val="00007CD7"/>
    <w:rsid w:val="00007E00"/>
    <w:rsid w:val="0002398A"/>
    <w:rsid w:val="00024D4D"/>
    <w:rsid w:val="00033DA4"/>
    <w:rsid w:val="00036C4D"/>
    <w:rsid w:val="00051F8D"/>
    <w:rsid w:val="000568E7"/>
    <w:rsid w:val="00081F88"/>
    <w:rsid w:val="00091537"/>
    <w:rsid w:val="00093EB0"/>
    <w:rsid w:val="000A70F3"/>
    <w:rsid w:val="000B0D6D"/>
    <w:rsid w:val="000C22D6"/>
    <w:rsid w:val="000D0494"/>
    <w:rsid w:val="00115697"/>
    <w:rsid w:val="00120F58"/>
    <w:rsid w:val="0015467A"/>
    <w:rsid w:val="00154A5B"/>
    <w:rsid w:val="001573A1"/>
    <w:rsid w:val="00176638"/>
    <w:rsid w:val="001C5CBD"/>
    <w:rsid w:val="00223C7E"/>
    <w:rsid w:val="00224264"/>
    <w:rsid w:val="00250657"/>
    <w:rsid w:val="00254773"/>
    <w:rsid w:val="00265BA5"/>
    <w:rsid w:val="00273E75"/>
    <w:rsid w:val="00282040"/>
    <w:rsid w:val="002865F1"/>
    <w:rsid w:val="002C7D7A"/>
    <w:rsid w:val="002D126E"/>
    <w:rsid w:val="002E27B6"/>
    <w:rsid w:val="00305249"/>
    <w:rsid w:val="00334F26"/>
    <w:rsid w:val="003428E6"/>
    <w:rsid w:val="00347285"/>
    <w:rsid w:val="0036154B"/>
    <w:rsid w:val="00382ACD"/>
    <w:rsid w:val="00387E54"/>
    <w:rsid w:val="00390AF5"/>
    <w:rsid w:val="003927D9"/>
    <w:rsid w:val="003A3551"/>
    <w:rsid w:val="003B047F"/>
    <w:rsid w:val="0042467B"/>
    <w:rsid w:val="004759E1"/>
    <w:rsid w:val="004B09D3"/>
    <w:rsid w:val="00524C24"/>
    <w:rsid w:val="00533CB6"/>
    <w:rsid w:val="00554DC1"/>
    <w:rsid w:val="00564BE1"/>
    <w:rsid w:val="00576CCA"/>
    <w:rsid w:val="00584CF7"/>
    <w:rsid w:val="005940D2"/>
    <w:rsid w:val="005B1918"/>
    <w:rsid w:val="005B767D"/>
    <w:rsid w:val="005C72AA"/>
    <w:rsid w:val="005D4B74"/>
    <w:rsid w:val="005E1BC0"/>
    <w:rsid w:val="00613ED9"/>
    <w:rsid w:val="0063629E"/>
    <w:rsid w:val="00642A73"/>
    <w:rsid w:val="00644286"/>
    <w:rsid w:val="00646C7E"/>
    <w:rsid w:val="00657681"/>
    <w:rsid w:val="006641BF"/>
    <w:rsid w:val="006667D0"/>
    <w:rsid w:val="0068026C"/>
    <w:rsid w:val="006930CE"/>
    <w:rsid w:val="006E4474"/>
    <w:rsid w:val="007040C4"/>
    <w:rsid w:val="00704D88"/>
    <w:rsid w:val="007416CC"/>
    <w:rsid w:val="00745134"/>
    <w:rsid w:val="007506BE"/>
    <w:rsid w:val="007E021D"/>
    <w:rsid w:val="007F4B46"/>
    <w:rsid w:val="007F7F9E"/>
    <w:rsid w:val="0081300F"/>
    <w:rsid w:val="00860F7F"/>
    <w:rsid w:val="008705E3"/>
    <w:rsid w:val="008806E5"/>
    <w:rsid w:val="00880F60"/>
    <w:rsid w:val="00891DE1"/>
    <w:rsid w:val="008B0D14"/>
    <w:rsid w:val="008D5AC2"/>
    <w:rsid w:val="008F3B11"/>
    <w:rsid w:val="009010B0"/>
    <w:rsid w:val="00901C74"/>
    <w:rsid w:val="009038B7"/>
    <w:rsid w:val="009218A9"/>
    <w:rsid w:val="00952385"/>
    <w:rsid w:val="009732AC"/>
    <w:rsid w:val="00973319"/>
    <w:rsid w:val="00975A22"/>
    <w:rsid w:val="009860D4"/>
    <w:rsid w:val="00990D8F"/>
    <w:rsid w:val="009B7ADA"/>
    <w:rsid w:val="009C2E07"/>
    <w:rsid w:val="009F3EE0"/>
    <w:rsid w:val="009F55AB"/>
    <w:rsid w:val="00A30B9F"/>
    <w:rsid w:val="00A5618F"/>
    <w:rsid w:val="00A60BE4"/>
    <w:rsid w:val="00A613A9"/>
    <w:rsid w:val="00A6369C"/>
    <w:rsid w:val="00A65DE6"/>
    <w:rsid w:val="00A77BBE"/>
    <w:rsid w:val="00A83FCB"/>
    <w:rsid w:val="00A90182"/>
    <w:rsid w:val="00A901E4"/>
    <w:rsid w:val="00AE6D11"/>
    <w:rsid w:val="00B077EF"/>
    <w:rsid w:val="00B22FB2"/>
    <w:rsid w:val="00B73887"/>
    <w:rsid w:val="00B848B8"/>
    <w:rsid w:val="00BA6A92"/>
    <w:rsid w:val="00BB038A"/>
    <w:rsid w:val="00BB6DC2"/>
    <w:rsid w:val="00BC0A05"/>
    <w:rsid w:val="00BC1BAA"/>
    <w:rsid w:val="00BE57EC"/>
    <w:rsid w:val="00C175F0"/>
    <w:rsid w:val="00C50E37"/>
    <w:rsid w:val="00C536D1"/>
    <w:rsid w:val="00C73404"/>
    <w:rsid w:val="00C9352E"/>
    <w:rsid w:val="00C9383D"/>
    <w:rsid w:val="00CB2783"/>
    <w:rsid w:val="00CC661C"/>
    <w:rsid w:val="00CD5D2F"/>
    <w:rsid w:val="00CE5321"/>
    <w:rsid w:val="00D017D5"/>
    <w:rsid w:val="00D16B61"/>
    <w:rsid w:val="00D33491"/>
    <w:rsid w:val="00D47B28"/>
    <w:rsid w:val="00D5349F"/>
    <w:rsid w:val="00D57EFA"/>
    <w:rsid w:val="00D612CC"/>
    <w:rsid w:val="00DC40CE"/>
    <w:rsid w:val="00DD4C4C"/>
    <w:rsid w:val="00DF7EC9"/>
    <w:rsid w:val="00E076B1"/>
    <w:rsid w:val="00E3205C"/>
    <w:rsid w:val="00E4412E"/>
    <w:rsid w:val="00E66619"/>
    <w:rsid w:val="00E84A46"/>
    <w:rsid w:val="00E85C69"/>
    <w:rsid w:val="00EA17BC"/>
    <w:rsid w:val="00EB5FCD"/>
    <w:rsid w:val="00EC47BC"/>
    <w:rsid w:val="00EE240C"/>
    <w:rsid w:val="00F54574"/>
    <w:rsid w:val="00F71445"/>
    <w:rsid w:val="00FB4B27"/>
    <w:rsid w:val="00FE4451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D7C"/>
  <w15:docId w15:val="{A0A10F71-8124-4571-AA08-5661D42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  <w:style w:type="paragraph" w:customStyle="1" w:styleId="Normalny1">
    <w:name w:val="Normalny1"/>
    <w:qFormat/>
    <w:rsid w:val="005B19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EAF6-68FC-44DB-A2FF-482D5C18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11</cp:revision>
  <cp:lastPrinted>2018-09-05T08:38:00Z</cp:lastPrinted>
  <dcterms:created xsi:type="dcterms:W3CDTF">2022-07-25T05:38:00Z</dcterms:created>
  <dcterms:modified xsi:type="dcterms:W3CDTF">2022-11-02T07:29:00Z</dcterms:modified>
</cp:coreProperties>
</file>