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E4BB0" w14:textId="77777777" w:rsidR="004D5341" w:rsidRPr="003A556E" w:rsidRDefault="004D5341" w:rsidP="004D5341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i/>
          <w:sz w:val="16"/>
          <w:szCs w:val="16"/>
        </w:rPr>
        <w:t>Z</w:t>
      </w:r>
      <w:r w:rsidRPr="003A1A31">
        <w:rPr>
          <w:rFonts w:ascii="Arial" w:hAnsi="Arial"/>
          <w:i/>
          <w:sz w:val="16"/>
          <w:szCs w:val="16"/>
        </w:rPr>
        <w:t>ałącznik nr 6 do regulaminu</w:t>
      </w:r>
    </w:p>
    <w:p w14:paraId="007A7629" w14:textId="77777777" w:rsidR="004D5341" w:rsidRPr="00390868" w:rsidRDefault="004D5341" w:rsidP="004D5341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  <w:t xml:space="preserve">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 bez podatku od towarów 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złotych</w:t>
      </w:r>
    </w:p>
    <w:p w14:paraId="7513A07D" w14:textId="77777777" w:rsidR="004D5341" w:rsidRPr="003A1A31" w:rsidRDefault="004D5341" w:rsidP="004D5341">
      <w:pPr>
        <w:rPr>
          <w:rFonts w:ascii="Arial" w:hAnsi="Arial"/>
          <w:i/>
          <w:sz w:val="16"/>
          <w:szCs w:val="16"/>
        </w:rPr>
      </w:pPr>
    </w:p>
    <w:p w14:paraId="0D00D1F4" w14:textId="77777777" w:rsidR="004D5341" w:rsidRPr="003A1A31" w:rsidRDefault="004D5341" w:rsidP="004D5341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38323ED" w14:textId="77777777" w:rsidR="004D5341" w:rsidRPr="003A1A31" w:rsidRDefault="004D5341" w:rsidP="004D5341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09063456" w14:textId="77777777" w:rsidR="004D5341" w:rsidRPr="003A1A31" w:rsidRDefault="004D5341" w:rsidP="004D5341">
      <w:pPr>
        <w:rPr>
          <w:rFonts w:ascii="Arial" w:hAnsi="Arial" w:cs="Arial"/>
          <w:sz w:val="20"/>
          <w:szCs w:val="20"/>
        </w:rPr>
      </w:pPr>
    </w:p>
    <w:p w14:paraId="4E1276D2" w14:textId="77777777" w:rsidR="004D5341" w:rsidRPr="003A1A31" w:rsidRDefault="004D5341" w:rsidP="004D5341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adres do korespondencji.....................................................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14:paraId="35653D3E" w14:textId="77777777" w:rsidR="004D5341" w:rsidRPr="003A1A31" w:rsidRDefault="004D5341" w:rsidP="004D5341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nr telefonu...................................................................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07EB3D08" w14:textId="77777777" w:rsidR="004D5341" w:rsidRPr="003A1A31" w:rsidRDefault="004D5341" w:rsidP="004D5341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</w:t>
      </w:r>
      <w:r w:rsidR="006421C2">
        <w:rPr>
          <w:rFonts w:ascii="Arial" w:hAnsi="Arial" w:cs="Arial"/>
          <w:b w:val="0"/>
          <w:bCs/>
          <w:sz w:val="20"/>
        </w:rPr>
        <w:t xml:space="preserve"> </w:t>
      </w:r>
      <w:r w:rsidRPr="003A1A31">
        <w:rPr>
          <w:rFonts w:ascii="Arial" w:hAnsi="Arial" w:cs="Arial"/>
          <w:b w:val="0"/>
          <w:bCs/>
          <w:sz w:val="20"/>
        </w:rPr>
        <w:t>..............  KRS: ...............................</w:t>
      </w:r>
      <w:r>
        <w:rPr>
          <w:rFonts w:ascii="Arial" w:hAnsi="Arial" w:cs="Arial"/>
          <w:b w:val="0"/>
          <w:bCs/>
          <w:sz w:val="20"/>
        </w:rPr>
        <w:t>.......</w:t>
      </w:r>
    </w:p>
    <w:p w14:paraId="669116A6" w14:textId="77777777" w:rsidR="004D5341" w:rsidRPr="003A1A31" w:rsidRDefault="004D5341" w:rsidP="004D534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71EC7BA" w14:textId="77777777" w:rsidR="004D5341" w:rsidRPr="003A1A31" w:rsidRDefault="004D5341" w:rsidP="004D53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0B77C2F" w14:textId="6133E865" w:rsidR="004D5341" w:rsidRPr="003A1A31" w:rsidRDefault="004D5341" w:rsidP="004D5341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</w:t>
      </w:r>
      <w:bookmarkStart w:id="0" w:name="_Hlk72219720"/>
      <w:r w:rsidR="00B85DBD">
        <w:rPr>
          <w:rFonts w:ascii="Arial" w:hAnsi="Arial" w:cs="Arial"/>
          <w:b/>
          <w:bCs/>
          <w:sz w:val="20"/>
          <w:szCs w:val="20"/>
        </w:rPr>
        <w:t xml:space="preserve">Dostawę komputerów stacjonarnych wraz z pakietem </w:t>
      </w:r>
      <w:proofErr w:type="spellStart"/>
      <w:r w:rsidR="00B85DBD">
        <w:rPr>
          <w:rFonts w:ascii="Arial" w:hAnsi="Arial" w:cs="Arial"/>
          <w:b/>
          <w:bCs/>
          <w:sz w:val="20"/>
          <w:szCs w:val="20"/>
        </w:rPr>
        <w:t>office</w:t>
      </w:r>
      <w:proofErr w:type="spellEnd"/>
      <w:r w:rsidR="00B85DBD">
        <w:rPr>
          <w:rFonts w:ascii="Arial" w:hAnsi="Arial" w:cs="Arial"/>
          <w:b/>
          <w:bCs/>
          <w:sz w:val="20"/>
          <w:szCs w:val="20"/>
        </w:rPr>
        <w:t xml:space="preserve"> oraz Dysków SSD</w:t>
      </w:r>
      <w:bookmarkEnd w:id="0"/>
      <w:r w:rsidR="00087894">
        <w:rPr>
          <w:rFonts w:ascii="Arial" w:hAnsi="Arial" w:cs="Arial"/>
          <w:b/>
          <w:bCs/>
          <w:sz w:val="20"/>
          <w:szCs w:val="20"/>
        </w:rPr>
        <w:t>.</w:t>
      </w:r>
    </w:p>
    <w:p w14:paraId="0A23E680" w14:textId="77777777" w:rsidR="004D5341" w:rsidRPr="003A1A31" w:rsidRDefault="004D5341" w:rsidP="004D5341">
      <w:pPr>
        <w:spacing w:line="276" w:lineRule="auto"/>
        <w:rPr>
          <w:rFonts w:ascii="Arial" w:hAnsi="Arial" w:cs="Arial"/>
          <w:sz w:val="20"/>
          <w:szCs w:val="20"/>
        </w:rPr>
      </w:pPr>
    </w:p>
    <w:p w14:paraId="1E4E84A9" w14:textId="77ADAE03" w:rsidR="004D5341" w:rsidRDefault="004D5341" w:rsidP="004D5341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</w:t>
      </w:r>
      <w:r w:rsidR="00EB3BA2">
        <w:rPr>
          <w:rFonts w:ascii="Arial" w:hAnsi="Arial" w:cs="Arial"/>
          <w:sz w:val="20"/>
          <w:szCs w:val="20"/>
        </w:rPr>
        <w:t xml:space="preserve">na okres </w:t>
      </w:r>
      <w:r w:rsidR="00471400">
        <w:rPr>
          <w:rFonts w:ascii="Arial" w:hAnsi="Arial" w:cs="Arial"/>
          <w:sz w:val="20"/>
          <w:szCs w:val="20"/>
        </w:rPr>
        <w:t xml:space="preserve">1 miesiąca </w:t>
      </w:r>
      <w:r w:rsidRPr="003A1A31"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w tym VAT:………………….. </w:t>
      </w:r>
    </w:p>
    <w:p w14:paraId="73B84270" w14:textId="77777777" w:rsidR="004D5341" w:rsidRPr="003A1A3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7ED9B16E" w14:textId="77777777" w:rsidR="004D5341" w:rsidRPr="003A1A3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0078B4C9" w14:textId="77777777" w:rsidR="004D5341" w:rsidRPr="003A1A3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31BC452F" w14:textId="77777777" w:rsidR="004D534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1EB6DE77" w14:textId="0D0963AE" w:rsidR="004D534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Inne istotne elementy oferty (jeśli mają zastosowanie podać): </w:t>
      </w:r>
    </w:p>
    <w:p w14:paraId="40325317" w14:textId="5DA29723" w:rsidR="00151DA3" w:rsidRDefault="00151DA3" w:rsidP="00151DA3">
      <w:pPr>
        <w:widowControl/>
        <w:autoSpaceDE/>
        <w:autoSpaceDN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Termin płatności – 60 dni</w:t>
      </w:r>
    </w:p>
    <w:p w14:paraId="733BF13D" w14:textId="3C831D57" w:rsidR="00151DA3" w:rsidRPr="003A1A31" w:rsidRDefault="00151DA3" w:rsidP="00151DA3">
      <w:pPr>
        <w:widowControl/>
        <w:autoSpaceDE/>
        <w:autoSpaceDN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Czas realizacji 14 dni od podpisania umowy</w:t>
      </w:r>
    </w:p>
    <w:p w14:paraId="688137A8" w14:textId="77777777" w:rsidR="004D5341" w:rsidRPr="003A1A3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404127F9" w14:textId="77777777" w:rsidR="004D5341" w:rsidRPr="003A1A3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1EA747E3" w14:textId="77777777" w:rsidR="004D5341" w:rsidRPr="003A1A31" w:rsidRDefault="004D5341" w:rsidP="004D5341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127D8D6F" w14:textId="77777777" w:rsidR="004D5341" w:rsidRPr="003A1A3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</w:t>
      </w:r>
      <w:r>
        <w:rPr>
          <w:rFonts w:ascii="Arial" w:hAnsi="Arial" w:cs="Arial"/>
          <w:sz w:val="20"/>
          <w:szCs w:val="20"/>
        </w:rPr>
        <w:t xml:space="preserve"> </w:t>
      </w:r>
      <w:r w:rsidRPr="002D0749"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</w:t>
      </w:r>
      <w:r w:rsidRPr="003A1A31"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75A7971D" w14:textId="77777777" w:rsidR="004D5341" w:rsidRPr="003A1A31" w:rsidRDefault="004D5341" w:rsidP="004D5341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95D31CA" w14:textId="77777777" w:rsidR="004D5341" w:rsidRPr="003A1A31" w:rsidRDefault="004D5341" w:rsidP="004D5341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474BEEC5" w14:textId="77777777" w:rsidR="004D5341" w:rsidRPr="003A1A31" w:rsidRDefault="004D5341" w:rsidP="004D5341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713D3FB" w14:textId="77777777" w:rsidR="004D5341" w:rsidRPr="003A1A3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5EB82AE9" w14:textId="77777777" w:rsidR="004D5341" w:rsidRPr="003A1A31" w:rsidRDefault="004D5341" w:rsidP="004D534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A53079B" w14:textId="77777777" w:rsidR="004D5341" w:rsidRPr="003A1A31" w:rsidRDefault="004D5341" w:rsidP="004D5341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3E57B2C7" w14:textId="77777777" w:rsidR="004D5341" w:rsidRPr="003A1A31" w:rsidRDefault="004D5341" w:rsidP="004D5341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45726498" w14:textId="77777777" w:rsidR="004D5341" w:rsidRPr="003A1A31" w:rsidRDefault="004D5341" w:rsidP="004D5341">
      <w:pPr>
        <w:rPr>
          <w:rFonts w:ascii="Arial" w:hAnsi="Arial" w:cs="Arial"/>
          <w:sz w:val="20"/>
          <w:szCs w:val="20"/>
        </w:rPr>
      </w:pPr>
    </w:p>
    <w:p w14:paraId="5089EF10" w14:textId="77777777" w:rsidR="004D5341" w:rsidRPr="003A1A31" w:rsidRDefault="004D5341" w:rsidP="004D5341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56A51C77" w14:textId="77777777" w:rsidR="004D5341" w:rsidRPr="003A1A31" w:rsidRDefault="004D5341" w:rsidP="004D5341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1741F167" w14:textId="77777777" w:rsidR="004D5341" w:rsidRPr="003A1A31" w:rsidRDefault="004D5341" w:rsidP="004D5341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14:paraId="16474173" w14:textId="77777777" w:rsidR="005C5A81" w:rsidRDefault="004D5341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>* niepotrzebne skreślić</w:t>
      </w:r>
    </w:p>
    <w:p w14:paraId="5808ED72" w14:textId="476B2363" w:rsidR="005C5A81" w:rsidRDefault="004D5341" w:rsidP="005C5A81">
      <w:pPr>
        <w:rPr>
          <w:rFonts w:ascii="Arial" w:hAnsi="Arial" w:cs="Arial"/>
          <w:b/>
          <w:sz w:val="20"/>
        </w:rPr>
      </w:pPr>
      <w:r w:rsidRPr="005C5A81">
        <w:rPr>
          <w:rFonts w:ascii="Arial" w:hAnsi="Arial" w:cs="Arial"/>
          <w:iCs/>
          <w:sz w:val="20"/>
          <w:szCs w:val="20"/>
        </w:rPr>
        <w:t xml:space="preserve"> </w:t>
      </w:r>
      <w:r w:rsidR="005C5A81">
        <w:rPr>
          <w:rFonts w:ascii="Arial" w:hAnsi="Arial" w:cs="Arial"/>
          <w:b/>
          <w:sz w:val="20"/>
        </w:rPr>
        <w:t xml:space="preserve"> </w:t>
      </w:r>
      <w:r w:rsidR="005C5A81" w:rsidRPr="00017F16">
        <w:rPr>
          <w:rFonts w:ascii="Arial" w:hAnsi="Arial" w:cs="Arial"/>
          <w:b/>
          <w:sz w:val="20"/>
        </w:rPr>
        <w:t xml:space="preserve"> </w:t>
      </w:r>
    </w:p>
    <w:p w14:paraId="698A216D" w14:textId="77777777" w:rsidR="005C5A81" w:rsidRPr="0046621A" w:rsidRDefault="005C5A81" w:rsidP="005C5A81">
      <w:pPr>
        <w:pStyle w:val="Akapitzlist"/>
        <w:spacing w:after="0" w:line="360" w:lineRule="auto"/>
        <w:ind w:left="-284"/>
        <w:jc w:val="left"/>
        <w:rPr>
          <w:rFonts w:ascii="Arial" w:hAnsi="Arial" w:cs="Arial"/>
          <w:b/>
          <w:sz w:val="20"/>
        </w:rPr>
      </w:pPr>
      <w:r w:rsidRPr="0046621A">
        <w:rPr>
          <w:rFonts w:ascii="Arial" w:hAnsi="Arial" w:cs="Arial"/>
          <w:b/>
          <w:sz w:val="20"/>
        </w:rPr>
        <w:t>Minimalne wymagania techniczne:</w:t>
      </w:r>
    </w:p>
    <w:p w14:paraId="73314BD4" w14:textId="77777777" w:rsidR="005C5A81" w:rsidRPr="0046621A" w:rsidRDefault="005C5A81" w:rsidP="005C5A81">
      <w:pPr>
        <w:keepNext/>
        <w:widowControl/>
        <w:numPr>
          <w:ilvl w:val="1"/>
          <w:numId w:val="2"/>
        </w:numPr>
        <w:autoSpaceDE/>
        <w:autoSpaceDN/>
        <w:spacing w:line="360" w:lineRule="auto"/>
        <w:jc w:val="both"/>
        <w:outlineLvl w:val="1"/>
        <w:rPr>
          <w:rFonts w:ascii="Arial" w:hAnsi="Arial" w:cs="Arial"/>
          <w:b/>
          <w:sz w:val="20"/>
        </w:rPr>
      </w:pPr>
      <w:bookmarkStart w:id="1" w:name="_Toc4086931"/>
      <w:bookmarkStart w:id="2" w:name="_Toc11344038"/>
      <w:bookmarkStart w:id="3" w:name="_Toc14250694"/>
      <w:r w:rsidRPr="0046621A">
        <w:rPr>
          <w:rFonts w:ascii="Arial" w:hAnsi="Arial" w:cs="Arial"/>
          <w:b/>
          <w:sz w:val="20"/>
        </w:rPr>
        <w:t xml:space="preserve">Zestaw komputerowy </w:t>
      </w:r>
      <w:bookmarkEnd w:id="1"/>
      <w:bookmarkEnd w:id="2"/>
      <w:r w:rsidRPr="0046621A">
        <w:rPr>
          <w:rFonts w:ascii="Arial" w:hAnsi="Arial" w:cs="Arial"/>
          <w:b/>
          <w:sz w:val="20"/>
        </w:rPr>
        <w:t>Typ 1</w:t>
      </w:r>
      <w:bookmarkEnd w:id="3"/>
      <w:r>
        <w:rPr>
          <w:rFonts w:ascii="Arial" w:hAnsi="Arial" w:cs="Arial"/>
          <w:b/>
          <w:sz w:val="20"/>
        </w:rPr>
        <w:t xml:space="preserve">    -  10 szt.</w:t>
      </w:r>
    </w:p>
    <w:tbl>
      <w:tblPr>
        <w:tblW w:w="5441" w:type="pct"/>
        <w:tblInd w:w="-2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6455"/>
        <w:gridCol w:w="1700"/>
      </w:tblGrid>
      <w:tr w:rsidR="005C5A81" w:rsidRPr="0046621A" w14:paraId="01E18FA4" w14:textId="77777777" w:rsidTr="00400225">
        <w:trPr>
          <w:trHeight w:val="615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37002C" w14:textId="77777777" w:rsidR="005C5A81" w:rsidRPr="00556E40" w:rsidRDefault="005C5A81" w:rsidP="004002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6E40">
              <w:rPr>
                <w:rFonts w:ascii="Arial" w:hAnsi="Arial" w:cs="Arial"/>
                <w:b/>
                <w:bCs/>
                <w:color w:val="000000"/>
                <w:sz w:val="20"/>
              </w:rPr>
              <w:t>Podzespół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0E7112" w14:textId="77777777" w:rsidR="005C5A81" w:rsidRPr="0046621A" w:rsidRDefault="005C5A81" w:rsidP="0040022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b/>
                <w:bCs/>
                <w:color w:val="000000"/>
                <w:sz w:val="20"/>
              </w:rPr>
              <w:t>Minimalne parametry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BE9E" w14:textId="77777777" w:rsidR="005C5A81" w:rsidRPr="0046621A" w:rsidRDefault="005C5A81" w:rsidP="0040022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Parametr oferowany TAK/NIE</w:t>
            </w:r>
          </w:p>
        </w:tc>
      </w:tr>
      <w:tr w:rsidR="005C5A81" w:rsidRPr="0046621A" w14:paraId="3EF98C9B" w14:textId="77777777" w:rsidTr="00400225">
        <w:trPr>
          <w:trHeight w:val="378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502AB2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1. Typ komputera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82B746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6621A">
              <w:rPr>
                <w:rFonts w:ascii="Arial" w:hAnsi="Arial" w:cs="Arial"/>
                <w:b/>
                <w:bCs/>
                <w:color w:val="000000"/>
                <w:sz w:val="20"/>
              </w:rPr>
              <w:t>Komputer stacjonarny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DC348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5C5A81" w:rsidRPr="0046621A" w14:paraId="478405AC" w14:textId="77777777" w:rsidTr="00400225">
        <w:trPr>
          <w:trHeight w:val="178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93DBEC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2. Zastosowanie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89664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Komputer będzie wykorzystywany dla potrzeb aplikacji biurowych, dostępu do zasobów lokalnej sieci komputerowej oraz usług sieci Internet, aplikacji graficznych wektorowych oraz rastrowych, a także danych multimedialnych.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E7A3B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104710A8" w14:textId="77777777" w:rsidTr="00400225">
        <w:trPr>
          <w:trHeight w:val="1755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DA61F7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3. Procesor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D0957" w14:textId="77777777" w:rsidR="005C5A81" w:rsidRPr="0046621A" w:rsidRDefault="005C5A81" w:rsidP="00400225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Procesor klasy x86, 64-bitowy, umożliwiający osiągnięcie przez oferowany zestaw komputerowy w teście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SYSmark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® 2018 wyniku całkowitego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Overall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Performance – min. 1450 punktów oraz jednocześnie wyniku częściowego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Responsiveness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1400 punktów. Wynik z testu komputera w zaoferowanej konfiguracji, musi  znajdować się na oficjalnej  stronie producenta oprogramowania testującego, tj. firmy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Bapco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- https://results.bapco.com/results/benchmark/SYSmark_2018 lub należy dołączyć do oferty wynik z przeprowadzonego testu w oferowanej konfiguracji jako wydruk z licencjonowanego  oprogramowania testującego, przy czym zamawiający zastrzega sobie prawo wezwania wykonawcy do przedstawienia zabezpieczonego pliku PDF, wygenerowanego przez oprogramowanie testujące, w trakcie badania i oceny ofert, dla potwierdzenia autentyczności uzyskanych wyników.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8C0275" w14:textId="77777777" w:rsidR="005C5A81" w:rsidRPr="0046621A" w:rsidRDefault="005C5A81" w:rsidP="00400225">
            <w:pPr>
              <w:suppressAutoHyphen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181B71E4" w14:textId="77777777" w:rsidTr="00400225">
        <w:trPr>
          <w:trHeight w:val="733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56C1D2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4. Płyta główna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3F06" w14:textId="77777777" w:rsidR="005C5A81" w:rsidRPr="0046621A" w:rsidRDefault="005C5A81" w:rsidP="005C5A8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46621A">
              <w:rPr>
                <w:rFonts w:ascii="Arial" w:hAnsi="Arial" w:cs="Arial"/>
                <w:bCs/>
                <w:sz w:val="20"/>
              </w:rPr>
              <w:t>chipset dostosowany do oferowanego procesora lub równoważny</w:t>
            </w:r>
          </w:p>
          <w:p w14:paraId="2FBCA9B0" w14:textId="77777777" w:rsidR="005C5A81" w:rsidRPr="0046621A" w:rsidRDefault="005C5A81" w:rsidP="005C5A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46621A">
              <w:rPr>
                <w:rFonts w:ascii="Arial" w:hAnsi="Arial" w:cs="Arial"/>
                <w:bCs/>
                <w:sz w:val="20"/>
              </w:rPr>
              <w:t xml:space="preserve">minimum 2 </w:t>
            </w:r>
            <w:proofErr w:type="spellStart"/>
            <w:r w:rsidRPr="0046621A">
              <w:rPr>
                <w:rFonts w:ascii="Arial" w:hAnsi="Arial" w:cs="Arial"/>
                <w:bCs/>
                <w:sz w:val="20"/>
              </w:rPr>
              <w:t>sloty</w:t>
            </w:r>
            <w:proofErr w:type="spellEnd"/>
            <w:r w:rsidRPr="0046621A">
              <w:rPr>
                <w:rFonts w:ascii="Arial" w:hAnsi="Arial" w:cs="Arial"/>
                <w:bCs/>
                <w:sz w:val="20"/>
              </w:rPr>
              <w:t xml:space="preserve"> pamięci lub więcej, obsługującej częstotliwość minimum 2666 MHz lub więcej</w:t>
            </w:r>
          </w:p>
          <w:p w14:paraId="73C69CFA" w14:textId="77777777" w:rsidR="005C5A81" w:rsidRPr="0046621A" w:rsidRDefault="005C5A81" w:rsidP="005C5A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6621A">
              <w:rPr>
                <w:rFonts w:ascii="Arial" w:hAnsi="Arial" w:cs="Arial"/>
                <w:sz w:val="20"/>
                <w:lang w:val="en-US"/>
              </w:rPr>
              <w:t>minimum 1 x PCI Express 3.0 x 16</w:t>
            </w:r>
          </w:p>
          <w:p w14:paraId="25810D12" w14:textId="77777777" w:rsidR="005C5A81" w:rsidRPr="0046621A" w:rsidRDefault="005C5A81" w:rsidP="005C5A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6621A">
              <w:rPr>
                <w:rFonts w:ascii="Arial" w:hAnsi="Arial" w:cs="Arial"/>
                <w:sz w:val="20"/>
                <w:lang w:val="en-US"/>
              </w:rPr>
              <w:t>minimum 1 x PCI Express 2.0 x 4</w:t>
            </w:r>
          </w:p>
          <w:p w14:paraId="62DF34E4" w14:textId="77777777" w:rsidR="005C5A81" w:rsidRPr="0046621A" w:rsidRDefault="005C5A81" w:rsidP="005C5A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6621A">
              <w:rPr>
                <w:rFonts w:ascii="Arial" w:hAnsi="Arial" w:cs="Arial"/>
                <w:sz w:val="20"/>
                <w:lang w:val="en-US"/>
              </w:rPr>
              <w:t>minimum 1 x PCI Express 2.0 x 1</w:t>
            </w:r>
          </w:p>
          <w:p w14:paraId="27FD085D" w14:textId="77777777" w:rsidR="005C5A81" w:rsidRPr="0046621A" w:rsidRDefault="005C5A81" w:rsidP="005C5A81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minimum 3 złącza SATA 6.0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Gb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>/s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6A317" w14:textId="77777777" w:rsidR="005C5A81" w:rsidRPr="0046621A" w:rsidRDefault="005C5A81" w:rsidP="005C5A8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5C5A81" w:rsidRPr="0046621A" w14:paraId="473B1EBF" w14:textId="77777777" w:rsidTr="00400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E4B5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5. Pamięć operacyjna RAM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EC63" w14:textId="77777777" w:rsidR="005C5A81" w:rsidRPr="0046621A" w:rsidRDefault="005C5A81" w:rsidP="005C5A81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minimum 8 GB DDR4</w:t>
            </w:r>
          </w:p>
          <w:p w14:paraId="4D8F7CE3" w14:textId="77777777" w:rsidR="005C5A81" w:rsidRPr="0046621A" w:rsidRDefault="005C5A81" w:rsidP="005C5A81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 xml:space="preserve">minimum 1 wolny slot pamięci na płycie głównej, </w:t>
            </w:r>
          </w:p>
          <w:p w14:paraId="14B6F219" w14:textId="77777777" w:rsidR="005C5A81" w:rsidRPr="0046621A" w:rsidRDefault="005C5A81" w:rsidP="005C5A81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 xml:space="preserve">minimalny rozmiar możliwego rozszerzenia obsługiwanej pamięci, zapewniony </w:t>
            </w:r>
            <w:r w:rsidRPr="0046621A">
              <w:rPr>
                <w:rFonts w:ascii="Arial" w:hAnsi="Arial" w:cs="Arial"/>
                <w:color w:val="000000"/>
                <w:sz w:val="20"/>
              </w:rPr>
              <w:br/>
              <w:t xml:space="preserve">i potwierdzony przez producenta komputera:  32 GB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68F" w14:textId="77777777" w:rsidR="005C5A81" w:rsidRPr="0046621A" w:rsidRDefault="005C5A81" w:rsidP="005C5A81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5212D318" w14:textId="77777777" w:rsidTr="00400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5436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6. Porty w tylnej części komputera</w:t>
            </w:r>
          </w:p>
          <w:p w14:paraId="140678C2" w14:textId="77777777" w:rsidR="005C5A81" w:rsidRPr="00556E40" w:rsidRDefault="005C5A81" w:rsidP="0040022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557C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Komputer musi posiadać: </w:t>
            </w:r>
          </w:p>
          <w:p w14:paraId="330359ED" w14:textId="77777777" w:rsidR="005C5A81" w:rsidRPr="0046621A" w:rsidRDefault="005C5A81" w:rsidP="005C5A81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minimum 1 x Display Port,</w:t>
            </w:r>
          </w:p>
          <w:p w14:paraId="229DB7CF" w14:textId="77777777" w:rsidR="005C5A81" w:rsidRPr="0046621A" w:rsidRDefault="005C5A81" w:rsidP="005C5A81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minimum 4 x USB,</w:t>
            </w:r>
          </w:p>
          <w:p w14:paraId="17A14A75" w14:textId="77777777" w:rsidR="005C5A81" w:rsidRPr="0046621A" w:rsidRDefault="005C5A81" w:rsidP="005C5A81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minimum drugie złącze cyfrowe DVI lub HDMI umożliwiające przesyłanie obrazu z dźwiękiem</w:t>
            </w:r>
          </w:p>
          <w:p w14:paraId="21B21E35" w14:textId="77777777" w:rsidR="005C5A81" w:rsidRPr="0046621A" w:rsidRDefault="005C5A81" w:rsidP="005C5A81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minimum 1 port sieciowy RJ-45,</w:t>
            </w:r>
          </w:p>
          <w:p w14:paraId="493D9778" w14:textId="77777777" w:rsidR="005C5A81" w:rsidRPr="0046621A" w:rsidRDefault="005C5A81" w:rsidP="005C5A81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minimum 1 x PS/2</w:t>
            </w:r>
          </w:p>
          <w:p w14:paraId="5AE8A39E" w14:textId="77777777" w:rsidR="005C5A81" w:rsidRPr="0046621A" w:rsidRDefault="005C5A81" w:rsidP="005C5A81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6621A">
              <w:rPr>
                <w:rFonts w:ascii="Arial" w:hAnsi="Arial" w:cs="Arial"/>
                <w:sz w:val="20"/>
                <w:lang w:val="cs-CZ"/>
              </w:rPr>
              <w:t>porty audio line-in i line-out lub złącze typu combo.</w:t>
            </w:r>
          </w:p>
          <w:p w14:paraId="29D9DA1D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Wymagana ilość i rozmieszczenie (na zewnątrz obudowy komputera) portów USB, PS/2 oraz VIDEO nie może być osiągnięta w wyniku stosowania konwerterów, przejściówek itp.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4BBA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65B1E4A8" w14:textId="77777777" w:rsidTr="00400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2639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6. Porty w przedniej części komputera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1EC4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  <w:r w:rsidRPr="0046621A">
              <w:rPr>
                <w:rFonts w:ascii="Arial" w:hAnsi="Arial" w:cs="Arial"/>
                <w:sz w:val="20"/>
                <w:lang w:val="cs-CZ"/>
              </w:rPr>
              <w:t>Komputer musi posiadać:</w:t>
            </w:r>
          </w:p>
          <w:p w14:paraId="02B518AD" w14:textId="77777777" w:rsidR="005C5A81" w:rsidRPr="0046621A" w:rsidRDefault="005C5A81" w:rsidP="005C5A81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left"/>
              <w:rPr>
                <w:rFonts w:ascii="Arial" w:hAnsi="Arial" w:cs="Arial"/>
                <w:sz w:val="20"/>
                <w:lang w:val="cs-CZ"/>
              </w:rPr>
            </w:pPr>
            <w:r w:rsidRPr="0046621A">
              <w:rPr>
                <w:rFonts w:ascii="Arial" w:hAnsi="Arial" w:cs="Arial"/>
                <w:sz w:val="20"/>
                <w:lang w:val="cs-CZ"/>
              </w:rPr>
              <w:t>minumum 4 x USB, w tym min. 2 porty USB 3.1,</w:t>
            </w:r>
          </w:p>
          <w:p w14:paraId="788065A8" w14:textId="77777777" w:rsidR="005C5A81" w:rsidRPr="0046621A" w:rsidRDefault="005C5A81" w:rsidP="005C5A81">
            <w:pPr>
              <w:pStyle w:val="Akapitzlist"/>
              <w:numPr>
                <w:ilvl w:val="0"/>
                <w:numId w:val="7"/>
              </w:numPr>
              <w:spacing w:after="0" w:line="360" w:lineRule="auto"/>
              <w:jc w:val="left"/>
              <w:rPr>
                <w:rFonts w:ascii="Arial" w:hAnsi="Arial" w:cs="Arial"/>
                <w:sz w:val="20"/>
                <w:lang w:val="cs-CZ"/>
              </w:rPr>
            </w:pPr>
            <w:r w:rsidRPr="0046621A">
              <w:rPr>
                <w:rFonts w:ascii="Arial" w:hAnsi="Arial" w:cs="Arial"/>
                <w:sz w:val="20"/>
                <w:lang w:val="cs-CZ"/>
              </w:rPr>
              <w:t>porty słuchawek i mikrofonu na przednim panelu obudowy lub złącze typu combo.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2CE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5C5A81" w:rsidRPr="0046621A" w14:paraId="7B556FDC" w14:textId="77777777" w:rsidTr="00400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E98E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7. Dysk twardy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D555" w14:textId="77777777" w:rsidR="005C5A81" w:rsidRPr="0046621A" w:rsidRDefault="005C5A81" w:rsidP="005C5A8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-20"/>
              <w:rPr>
                <w:rFonts w:ascii="Arial" w:hAnsi="Arial" w:cs="Arial"/>
                <w:color w:val="000000" w:themeColor="text1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Minimum 256 GB SSD SATA III, </w:t>
            </w:r>
            <w:r w:rsidRPr="0046621A">
              <w:rPr>
                <w:rFonts w:ascii="Arial" w:hAnsi="Arial" w:cs="Arial"/>
                <w:color w:val="000000" w:themeColor="text1"/>
                <w:sz w:val="20"/>
              </w:rPr>
              <w:t>zawierający partycję RECOVERY umożliwiającą odtworzenie systemu operacyjnego  zainstalowanego  na komputerze przez producenta, po awarii, do stanu fabrycznego (tryb OOBE dla systemu MS Windows)</w:t>
            </w:r>
          </w:p>
          <w:p w14:paraId="05A61BB0" w14:textId="77777777" w:rsidR="005C5A81" w:rsidRPr="0046621A" w:rsidRDefault="005C5A81" w:rsidP="005C5A8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-20"/>
              <w:rPr>
                <w:rFonts w:ascii="Arial" w:hAnsi="Arial" w:cs="Arial"/>
                <w:color w:val="000000" w:themeColor="text1"/>
                <w:sz w:val="20"/>
              </w:rPr>
            </w:pPr>
            <w:r w:rsidRPr="0046621A">
              <w:rPr>
                <w:rFonts w:ascii="Arial" w:hAnsi="Arial" w:cs="Arial"/>
                <w:color w:val="000000" w:themeColor="text1"/>
                <w:sz w:val="20"/>
              </w:rPr>
              <w:t xml:space="preserve">Możliwość zamontowania w obudowie dwóch dodatkowych dysków 3,5 cala lub 2,5 cala.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170" w14:textId="77777777" w:rsidR="005C5A81" w:rsidRPr="0046621A" w:rsidRDefault="005C5A81" w:rsidP="005C5A8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-20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2BCE035B" w14:textId="77777777" w:rsidTr="00400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3386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8. Napęd optyczny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650A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Nagrywarka DVD +/-RW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D70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55607041" w14:textId="77777777" w:rsidTr="00400225">
        <w:trPr>
          <w:trHeight w:val="221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638298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9. Karta dźwiękowa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95AE1A" w14:textId="77777777" w:rsidR="005C5A81" w:rsidRPr="0046621A" w:rsidRDefault="005C5A81" w:rsidP="00400225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Karta dźwiękowa zintegrowana z płytą główną, zgodna ze standardem High Definition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4EDB8" w14:textId="77777777" w:rsidR="005C5A81" w:rsidRPr="0046621A" w:rsidRDefault="005C5A81" w:rsidP="00400225">
            <w:pPr>
              <w:suppressAutoHyphens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379D1FE8" w14:textId="77777777" w:rsidTr="00400225">
        <w:trPr>
          <w:trHeight w:val="221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BF413B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10. Karta graficzna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36698D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Zintegrowana karta graficzna wykorzystująca pamięć RAM systemu dynamicznie przydzielaną na potrzeby grafiki. Pełna obsługa funkcji i standardów DX12,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OpenGL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4.0,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OpenCL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1.2. Możliwość fabrycznego zainstalowania dodatkowej, dedykowanej karty graficznej z pamięcią własną min. 4 GB.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BF61B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4BFF0836" w14:textId="77777777" w:rsidTr="00400225">
        <w:trPr>
          <w:trHeight w:val="485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DDE6AB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11. Karta sieciowa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6EA5D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Karta sieciowa 10/100/1000 Ethernet RJ-45, zintegrowana z płytą główną wspierająca obsługę technologii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WoL</w:t>
            </w:r>
            <w:proofErr w:type="spellEnd"/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9CD20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3D780B03" w14:textId="77777777" w:rsidTr="00400225">
        <w:trPr>
          <w:trHeight w:val="274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EAD351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12. BIOS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B979C7" w14:textId="77777777" w:rsidR="005C5A81" w:rsidRPr="0046621A" w:rsidRDefault="005C5A81" w:rsidP="00400225">
            <w:pPr>
              <w:spacing w:line="360" w:lineRule="auto"/>
              <w:rPr>
                <w:rFonts w:ascii="Arial" w:eastAsiaTheme="minorEastAsia" w:hAnsi="Arial" w:cs="Arial"/>
                <w:b/>
                <w:bCs/>
                <w:sz w:val="20"/>
                <w:lang w:eastAsia="pl-PL"/>
              </w:rPr>
            </w:pPr>
            <w:r w:rsidRPr="0046621A">
              <w:rPr>
                <w:rFonts w:ascii="Arial" w:hAnsi="Arial" w:cs="Arial"/>
                <w:b/>
                <w:bCs/>
                <w:sz w:val="20"/>
              </w:rPr>
              <w:t>BIOS UEFI w wersji 2.6 lub wyższej. Możliwość odczytania z BIOS informacji o:</w:t>
            </w:r>
          </w:p>
          <w:p w14:paraId="7E81BFB3" w14:textId="77777777" w:rsidR="005C5A81" w:rsidRPr="0046621A" w:rsidRDefault="005C5A81" w:rsidP="005C5A8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modelu komputera,</w:t>
            </w:r>
          </w:p>
          <w:p w14:paraId="52A43255" w14:textId="77777777" w:rsidR="005C5A81" w:rsidRPr="0046621A" w:rsidRDefault="005C5A81" w:rsidP="005C5A8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numerze seryjnym,</w:t>
            </w:r>
          </w:p>
          <w:p w14:paraId="002BCDE9" w14:textId="77777777" w:rsidR="005C5A81" w:rsidRPr="0046621A" w:rsidRDefault="005C5A81" w:rsidP="005C5A8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46621A">
              <w:rPr>
                <w:rFonts w:ascii="Arial" w:hAnsi="Arial" w:cs="Arial"/>
                <w:sz w:val="20"/>
              </w:rPr>
              <w:t>AssetTag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>/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IDTag</w:t>
            </w:r>
            <w:proofErr w:type="spellEnd"/>
          </w:p>
          <w:p w14:paraId="2B870DC1" w14:textId="77777777" w:rsidR="005C5A81" w:rsidRPr="0046621A" w:rsidRDefault="005C5A81" w:rsidP="005C5A8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MAC Adres karty sieciowej,</w:t>
            </w:r>
          </w:p>
          <w:p w14:paraId="77278219" w14:textId="77777777" w:rsidR="005C5A81" w:rsidRPr="0046621A" w:rsidRDefault="005C5A81" w:rsidP="005C5A8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wersja Biosu wraz z datą jego produkcji,</w:t>
            </w:r>
          </w:p>
          <w:p w14:paraId="41B6F144" w14:textId="77777777" w:rsidR="005C5A81" w:rsidRPr="0046621A" w:rsidRDefault="005C5A81" w:rsidP="005C5A8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zainstalowanym procesorze, jego taktowaniu </w:t>
            </w:r>
          </w:p>
          <w:p w14:paraId="2252A508" w14:textId="77777777" w:rsidR="005C5A81" w:rsidRPr="0046621A" w:rsidRDefault="005C5A81" w:rsidP="005C5A8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ilości pamięci RAM wraz z taktowaniem i obłożeniem slotów</w:t>
            </w:r>
          </w:p>
          <w:p w14:paraId="5791E9E3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46621A">
              <w:rPr>
                <w:rFonts w:ascii="Arial" w:hAnsi="Arial" w:cs="Arial"/>
                <w:b/>
                <w:bCs/>
                <w:sz w:val="20"/>
              </w:rPr>
              <w:t>Możliwość z poziomu BIOS:</w:t>
            </w:r>
          </w:p>
          <w:p w14:paraId="13C69C55" w14:textId="77777777" w:rsidR="005C5A81" w:rsidRPr="0046621A" w:rsidRDefault="005C5A81" w:rsidP="005C5A8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wyłączenia selektywnego portów USB, minimum wyłączanie portów z przodu oraz wyłączanie portów z tyłu jako grup</w:t>
            </w:r>
          </w:p>
          <w:p w14:paraId="45682DD0" w14:textId="77777777" w:rsidR="005C5A81" w:rsidRPr="0046621A" w:rsidRDefault="005C5A81" w:rsidP="005C5A8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wyłączenia selektywnego (pojedynczego) portów SATA,</w:t>
            </w:r>
          </w:p>
          <w:p w14:paraId="48B26299" w14:textId="77777777" w:rsidR="005C5A81" w:rsidRPr="0046621A" w:rsidRDefault="005C5A81" w:rsidP="005C5A8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zmiany pracy wentylatorów między trybem optymalizacji głośności lub temperatury,</w:t>
            </w:r>
          </w:p>
          <w:p w14:paraId="7E7D5FD8" w14:textId="77777777" w:rsidR="005C5A81" w:rsidRPr="0046621A" w:rsidRDefault="005C5A81" w:rsidP="005C5A8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ustawienia hasła: administratora, Power-On, HDD,</w:t>
            </w:r>
          </w:p>
          <w:p w14:paraId="2AD2E0A0" w14:textId="77777777" w:rsidR="005C5A81" w:rsidRPr="0046621A" w:rsidRDefault="005C5A81" w:rsidP="005C5A8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możliwość zbierania i przeglądania logów zdarzeń z informacją odnośnie godziny, daty i kodu błędu zdarzenia</w:t>
            </w:r>
          </w:p>
          <w:p w14:paraId="7700170A" w14:textId="77777777" w:rsidR="005C5A81" w:rsidRPr="0046621A" w:rsidRDefault="005C5A81" w:rsidP="005C5A81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ustawienie automatycznej aktualizacji BIOS z serwera producenta komputera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0CE52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C5A81" w:rsidRPr="0046621A" w14:paraId="331A0FC0" w14:textId="77777777" w:rsidTr="00400225">
        <w:trPr>
          <w:trHeight w:val="221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4B4928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13. Klawiatura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425FEC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Klawiatura USB w układzie polskim programisty (104 klawisze) z kablem o długości min. 1,8 m.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692CA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C5A81" w:rsidRPr="0046621A" w14:paraId="21428921" w14:textId="77777777" w:rsidTr="00400225">
        <w:trPr>
          <w:trHeight w:val="181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DAFBB9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14. Mysz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78C06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Mysz optyczna USB z klawiszami oraz rolką (</w:t>
            </w:r>
            <w:proofErr w:type="spellStart"/>
            <w:r w:rsidRPr="0046621A">
              <w:rPr>
                <w:rFonts w:ascii="Arial" w:hAnsi="Arial" w:cs="Arial"/>
                <w:color w:val="000000"/>
                <w:sz w:val="20"/>
              </w:rPr>
              <w:t>scroll</w:t>
            </w:r>
            <w:proofErr w:type="spellEnd"/>
            <w:r w:rsidRPr="0046621A">
              <w:rPr>
                <w:rFonts w:ascii="Arial" w:hAnsi="Arial" w:cs="Arial"/>
                <w:color w:val="000000"/>
                <w:sz w:val="20"/>
              </w:rPr>
              <w:t>) z kablem o długości min. 1,8 m.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39547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C5A81" w:rsidRPr="0046621A" w14:paraId="262E0D8A" w14:textId="77777777" w:rsidTr="00400225">
        <w:trPr>
          <w:trHeight w:val="181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9383A5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15. Obudowa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DFD74" w14:textId="77777777" w:rsidR="005C5A81" w:rsidRPr="0046621A" w:rsidRDefault="005C5A81" w:rsidP="005C5A8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Typu Tower przystosowana do pracy w pionie, z obsługą kart PCI Express wyłącznie o standardowym (wysokim) profilu.</w:t>
            </w:r>
          </w:p>
          <w:p w14:paraId="2D60FA92" w14:textId="77777777" w:rsidR="005C5A81" w:rsidRPr="0046621A" w:rsidRDefault="005C5A81" w:rsidP="005C5A8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 xml:space="preserve">Wbudowany głośnik do odtwarzania plików multimedialnych. </w:t>
            </w:r>
          </w:p>
          <w:p w14:paraId="7C798C0D" w14:textId="77777777" w:rsidR="005C5A81" w:rsidRPr="0046621A" w:rsidRDefault="005C5A81" w:rsidP="005C5A81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Suma wymiarów obudowy, nie może przekroczyć: 870 mm, najkrótszy z wymiarów nie większy niż: 180 mm</w:t>
            </w:r>
          </w:p>
          <w:p w14:paraId="5DFEC6D5" w14:textId="77777777" w:rsidR="005C5A81" w:rsidRPr="0046621A" w:rsidRDefault="005C5A81" w:rsidP="005C5A81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Obudowa jednostki centralnej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beznarzędziowa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>, pozwalająca na demontaż komponentów i kart rozszerzeń (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PCIe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>) oraz napędu optycznego i dysków twardych (co najmniej 3,5 cala) bez użycia narzędzi, z obiegiem powietrza tylko przód-tył - brak perforacji na bokach obudowy .</w:t>
            </w:r>
          </w:p>
          <w:p w14:paraId="121EB9D1" w14:textId="77777777" w:rsidR="005C5A81" w:rsidRPr="0046621A" w:rsidRDefault="005C5A81" w:rsidP="00400225">
            <w:pPr>
              <w:pStyle w:val="Akapitzlist"/>
              <w:spacing w:before="60" w:after="60" w:line="240" w:lineRule="auto"/>
              <w:contextualSpacing w:val="0"/>
              <w:rPr>
                <w:rFonts w:ascii="Arial" w:hAnsi="Arial" w:cs="Arial"/>
                <w:sz w:val="20"/>
              </w:rPr>
            </w:pPr>
          </w:p>
          <w:p w14:paraId="3FCB31A3" w14:textId="77777777" w:rsidR="005C5A81" w:rsidRPr="0046621A" w:rsidRDefault="005C5A81" w:rsidP="005C5A81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contextualSpacing w:val="0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Głośność jednostki centralnej nie może przekraczać 22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dB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>, mierzona zgodnie z normą ISO 7779 lub równoważną oraz wykazana zgodnie z normą ISO 9296 lub równoważną w pozycji obserwatora w trybie pracy dysku twardego. Wymagany raport badawczy, wystawiony  przez niezależną, akredytowaną, co najmniej dla norm ISO 7779 i ISO 9296 jednostkę badawczą.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C0238" w14:textId="77777777" w:rsidR="005C5A81" w:rsidRPr="0046621A" w:rsidRDefault="005C5A81" w:rsidP="005C5A81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31269A3C" w14:textId="77777777" w:rsidTr="00400225">
        <w:trPr>
          <w:trHeight w:val="374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CA2FE3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16. Zasilanie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9BFF9E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Zasilacz o mocy nie mniejszej niż 200 W i nie większej niż 300 W, o sprawności 92% przy obciążeniu 50%. Roczny pobór mocy jednostki centralnej, nie większy, niż w specyfikacji energetycznej dla Energy Star w wersji 7.1.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A164E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79761013" w14:textId="77777777" w:rsidTr="00400225">
        <w:trPr>
          <w:trHeight w:val="170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F7B8DA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6E40">
              <w:rPr>
                <w:rFonts w:ascii="Arial" w:hAnsi="Arial" w:cs="Arial"/>
                <w:sz w:val="20"/>
              </w:rPr>
              <w:t>17. Bezpieczeństwo i funkcje zarządzania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7B60DB" w14:textId="77777777" w:rsidR="005C5A81" w:rsidRPr="0046621A" w:rsidRDefault="005C5A81" w:rsidP="005C5A81">
            <w:pPr>
              <w:pStyle w:val="Akapitzlist"/>
              <w:numPr>
                <w:ilvl w:val="0"/>
                <w:numId w:val="12"/>
              </w:numPr>
              <w:suppressAutoHyphens/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Możliwość zastosowania mechanicznego zabezpieczenia przed kradzieżą komputera.</w:t>
            </w:r>
          </w:p>
          <w:p w14:paraId="5A3F8D58" w14:textId="77777777" w:rsidR="005C5A81" w:rsidRPr="0046621A" w:rsidRDefault="005C5A81" w:rsidP="005C5A8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bCs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Zamek zatrzaskowy z kluczem lub zamek elektromagnetyczny, nie wystający poza obrys obudowy zabezpieczający przed niepowołanym dostępem do wnętrza obudowy.</w:t>
            </w:r>
          </w:p>
          <w:p w14:paraId="531E565D" w14:textId="77777777" w:rsidR="005C5A81" w:rsidRPr="0046621A" w:rsidRDefault="005C5A81" w:rsidP="005C5A8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bCs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Czujnik otwarcia obudowy.</w:t>
            </w:r>
          </w:p>
          <w:p w14:paraId="4DE40F1E" w14:textId="77777777" w:rsidR="005C5A81" w:rsidRPr="0046621A" w:rsidRDefault="005C5A81" w:rsidP="005C5A8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bCs/>
                <w:sz w:val="20"/>
              </w:rPr>
            </w:pPr>
            <w:r w:rsidRPr="0046621A">
              <w:rPr>
                <w:rFonts w:ascii="Arial" w:hAnsi="Arial" w:cs="Arial"/>
                <w:bCs/>
                <w:sz w:val="20"/>
              </w:rPr>
              <w:t>Moduł TPM 2.0.</w:t>
            </w:r>
          </w:p>
          <w:p w14:paraId="4124C9DD" w14:textId="77777777" w:rsidR="005C5A81" w:rsidRPr="0046621A" w:rsidRDefault="005C5A81" w:rsidP="005C5A8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bCs/>
                <w:sz w:val="20"/>
              </w:rPr>
            </w:pPr>
            <w:r w:rsidRPr="0046621A">
              <w:rPr>
                <w:rFonts w:ascii="Arial" w:hAnsi="Arial" w:cs="Arial"/>
                <w:bCs/>
                <w:sz w:val="20"/>
              </w:rPr>
              <w:t>Certyfikowane oprogramowanie umożliwiające – bez względu na stan czy obecność systemu operacyjnego w bezpieczny (bezpowrotny) sposób usunięcie danych z dysku twardego -  w ofercie należy podać nazwę i producenta oprogramowania.</w:t>
            </w:r>
          </w:p>
          <w:p w14:paraId="3B610691" w14:textId="77777777" w:rsidR="005C5A81" w:rsidRPr="0046621A" w:rsidRDefault="005C5A81" w:rsidP="005C5A8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System diagnostyczny działający bez udziału systemu operacyjnego, czy też jakichkolwiek dołączonych urządzeń na zewnątrz czy też wewnątrz komputera, umożliwiający otrzymanie informacji o:</w:t>
            </w:r>
          </w:p>
          <w:p w14:paraId="1445B601" w14:textId="77777777" w:rsidR="005C5A81" w:rsidRPr="0046621A" w:rsidRDefault="005C5A81" w:rsidP="00400225">
            <w:pPr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-       modelu, oznaczeniu  i numerze seryjnym komputera, pojemności zainstalowanej pamięci RAM</w:t>
            </w:r>
          </w:p>
          <w:p w14:paraId="51640939" w14:textId="77777777" w:rsidR="005C5A81" w:rsidRPr="0046621A" w:rsidRDefault="005C5A81" w:rsidP="00400225">
            <w:pPr>
              <w:spacing w:line="360" w:lineRule="auto"/>
              <w:rPr>
                <w:rFonts w:ascii="Arial" w:eastAsiaTheme="minorEastAsia" w:hAnsi="Arial" w:cs="Arial"/>
                <w:b/>
                <w:bCs/>
                <w:sz w:val="20"/>
                <w:lang w:eastAsia="pl-PL"/>
              </w:rPr>
            </w:pPr>
            <w:r w:rsidRPr="0046621A">
              <w:rPr>
                <w:rFonts w:ascii="Arial" w:hAnsi="Arial" w:cs="Arial"/>
                <w:b/>
                <w:bCs/>
                <w:sz w:val="20"/>
              </w:rPr>
              <w:t>Oprogramowanie diagnostyczne musi umożliwiać:</w:t>
            </w:r>
          </w:p>
          <w:p w14:paraId="05C2A6C7" w14:textId="77777777" w:rsidR="005C5A81" w:rsidRPr="0046621A" w:rsidRDefault="005C5A81" w:rsidP="005C5A8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wykonanie testu pamięci RAM,</w:t>
            </w:r>
          </w:p>
          <w:p w14:paraId="1784D652" w14:textId="77777777" w:rsidR="005C5A81" w:rsidRPr="0046621A" w:rsidRDefault="005C5A81" w:rsidP="005C5A8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wykonanie podstawowego testu prawidłowej pracy CPU</w:t>
            </w:r>
          </w:p>
          <w:p w14:paraId="5E1EB9D7" w14:textId="77777777" w:rsidR="005C5A81" w:rsidRPr="0046621A" w:rsidRDefault="005C5A81" w:rsidP="005C5A81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wykonanie testu dysku twardego.</w:t>
            </w:r>
          </w:p>
          <w:p w14:paraId="5BCC53D5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System Diagnostyczny działający nawet w przypadku uszkodzenia dysku twardego z systemem operacyjnym komputera (Zaimplementowany w sprzętowym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mikrokodzie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płyty głównej)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8ED57" w14:textId="77777777" w:rsidR="005C5A81" w:rsidRPr="0046621A" w:rsidRDefault="005C5A81" w:rsidP="00400225">
            <w:pPr>
              <w:pStyle w:val="Akapitzlist"/>
              <w:suppressAutoHyphens/>
              <w:spacing w:after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5BEBF7D9" w14:textId="77777777" w:rsidTr="00400225">
        <w:trPr>
          <w:trHeight w:val="221"/>
        </w:trPr>
        <w:tc>
          <w:tcPr>
            <w:tcW w:w="8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539134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6E40">
              <w:rPr>
                <w:rFonts w:ascii="Arial" w:hAnsi="Arial" w:cs="Arial"/>
                <w:sz w:val="20"/>
              </w:rPr>
              <w:t xml:space="preserve">18. Sterowniki </w:t>
            </w:r>
            <w:r w:rsidRPr="00556E40">
              <w:rPr>
                <w:rFonts w:ascii="Arial" w:hAnsi="Arial" w:cs="Arial"/>
                <w:sz w:val="20"/>
              </w:rPr>
              <w:br/>
              <w:t>i oprogramowanie</w:t>
            </w:r>
          </w:p>
        </w:tc>
        <w:tc>
          <w:tcPr>
            <w:tcW w:w="3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F64BBC" w14:textId="77777777" w:rsidR="005C5A81" w:rsidRPr="0046621A" w:rsidRDefault="005C5A81" w:rsidP="00400225">
            <w:pPr>
              <w:tabs>
                <w:tab w:val="num" w:pos="12"/>
              </w:tabs>
              <w:suppressAutoHyphens/>
              <w:spacing w:line="360" w:lineRule="auto"/>
              <w:ind w:left="12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Zapewnienie na dedykowanej stronie internetowej producenta dostępu do najnowszych sterowników i uaktualnień, realizowane poprzez podanie numeru seryjnego/modelu urządzenia, podać link strony www. </w:t>
            </w:r>
          </w:p>
          <w:p w14:paraId="2CC44EF4" w14:textId="77777777" w:rsidR="005C5A81" w:rsidRPr="0046621A" w:rsidRDefault="005C5A81" w:rsidP="00400225">
            <w:pPr>
              <w:tabs>
                <w:tab w:val="num" w:pos="12"/>
              </w:tabs>
              <w:suppressAutoHyphens/>
              <w:spacing w:line="360" w:lineRule="auto"/>
              <w:ind w:left="12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Oprogramowanie producenta komputera posiadające funkcje zarządzania sterownikami (wykrywanie i instalowanie aktualizacji).</w:t>
            </w:r>
          </w:p>
          <w:p w14:paraId="0215B073" w14:textId="77777777" w:rsidR="005C5A81" w:rsidRPr="0046621A" w:rsidRDefault="005C5A81" w:rsidP="00400225">
            <w:pPr>
              <w:tabs>
                <w:tab w:val="num" w:pos="12"/>
              </w:tabs>
              <w:suppressAutoHyphens/>
              <w:spacing w:line="360" w:lineRule="auto"/>
              <w:ind w:left="12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Oprogramowanie umożliwiające – bez względu na stan czy obecność systemu operacyjnego oraz bez podłączania żadnych urządzeń czy nośników zewnętrznych - w bezpieczny (bezpowrotny) sposób usunięcie danych z dysku twardego. Usuwanie danych z dysku twardego musi odbywać się przy wykorzystaniu certyfikowanych algorytmów a wynikiem pracy oprogramowania musi być protokół zawierający dane kasowanego dysku oraz informacje o zastosowanym algorytmie kasowania. W ofercie należy podać nazwę i producenta oprogramowania.</w:t>
            </w:r>
          </w:p>
        </w:tc>
        <w:tc>
          <w:tcPr>
            <w:tcW w:w="8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EDC09" w14:textId="77777777" w:rsidR="005C5A81" w:rsidRPr="0046621A" w:rsidRDefault="005C5A81" w:rsidP="00400225">
            <w:pPr>
              <w:tabs>
                <w:tab w:val="num" w:pos="12"/>
              </w:tabs>
              <w:suppressAutoHyphens/>
              <w:spacing w:line="360" w:lineRule="auto"/>
              <w:ind w:left="12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437EF109" w14:textId="77777777" w:rsidTr="00400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219E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 xml:space="preserve">19. Certyfikaty </w:t>
            </w:r>
            <w:r w:rsidRPr="00556E40">
              <w:rPr>
                <w:rFonts w:ascii="Arial" w:hAnsi="Arial" w:cs="Arial"/>
                <w:color w:val="000000"/>
                <w:sz w:val="20"/>
              </w:rPr>
              <w:br/>
              <w:t>i oświadczenia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5F72" w14:textId="77777777" w:rsidR="005C5A81" w:rsidRPr="0046621A" w:rsidRDefault="005C5A81" w:rsidP="005C5A8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contextualSpacing w:val="0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Producent komputera musi posiadać ISO 9001 co najmniej w zakresie projektowania, produkcji i serwisu komputerów.</w:t>
            </w:r>
          </w:p>
          <w:p w14:paraId="0C688956" w14:textId="77777777" w:rsidR="005C5A81" w:rsidRPr="0046621A" w:rsidRDefault="005C5A81" w:rsidP="005C5A8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Producent komputera musi posiadać ISO 14001, co najmniej w zakresie projektowania i produkcji.</w:t>
            </w:r>
          </w:p>
          <w:p w14:paraId="21695174" w14:textId="77777777" w:rsidR="005C5A81" w:rsidRPr="0046621A" w:rsidRDefault="005C5A81" w:rsidP="005C5A8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contextualSpacing w:val="0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Oferowane komputery stacjonarne muszą posiadać europejską deklarację zgodności CE.</w:t>
            </w:r>
          </w:p>
          <w:p w14:paraId="6066A53B" w14:textId="77777777" w:rsidR="005C5A81" w:rsidRPr="0046621A" w:rsidRDefault="005C5A81" w:rsidP="005C5A8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Certyfikat poprawnej współpracy z zaoferowanym systemem operacyjnym - do oferty dołączyć wydruk ze strony producenta oprogramowania systemowego.</w:t>
            </w:r>
          </w:p>
          <w:p w14:paraId="5CDDBD52" w14:textId="77777777" w:rsidR="005C5A81" w:rsidRPr="0046621A" w:rsidRDefault="005C5A81" w:rsidP="005C5A8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Producent komputera/fabryka producenta musi posiadać normę ISO 50001.</w:t>
            </w:r>
          </w:p>
          <w:p w14:paraId="41B4DA6A" w14:textId="77777777" w:rsidR="005C5A81" w:rsidRPr="0046621A" w:rsidRDefault="005C5A81" w:rsidP="005C5A8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Producent komputera musi posiadać normę ISO 27001.</w:t>
            </w:r>
          </w:p>
          <w:p w14:paraId="522BF65D" w14:textId="77777777" w:rsidR="005C5A81" w:rsidRPr="0046621A" w:rsidRDefault="005C5A81" w:rsidP="005C5A81">
            <w:pPr>
              <w:pStyle w:val="Akapitzlist"/>
              <w:numPr>
                <w:ilvl w:val="0"/>
                <w:numId w:val="16"/>
              </w:numPr>
              <w:suppressAutoHyphens/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Oferowane komputery stacjonarne muszą posiadać certyfikat TCO – obecność modelu na stronie </w:t>
            </w:r>
            <w:hyperlink r:id="rId7" w:history="1">
              <w:r w:rsidRPr="0046621A">
                <w:rPr>
                  <w:rStyle w:val="Hipercze"/>
                  <w:rFonts w:ascii="Arial" w:hAnsi="Arial" w:cs="Arial"/>
                  <w:sz w:val="20"/>
                </w:rPr>
                <w:t>https://tcocertified.com/product-finder/</w:t>
              </w:r>
            </w:hyperlink>
          </w:p>
          <w:p w14:paraId="7B97302A" w14:textId="77777777" w:rsidR="005C5A81" w:rsidRPr="0046621A" w:rsidRDefault="005C5A81" w:rsidP="005C5A81">
            <w:pPr>
              <w:pStyle w:val="Akapitzlist"/>
              <w:numPr>
                <w:ilvl w:val="0"/>
                <w:numId w:val="16"/>
              </w:numPr>
              <w:suppressAutoHyphens/>
              <w:spacing w:after="0"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Oferowane komputery stacjonarne muszą posiadać certyfikat EPEAT dla standardu IEEE 1680.1 - 2018 – obecność modelu na stronie </w:t>
            </w:r>
            <w:hyperlink r:id="rId8" w:history="1">
              <w:r w:rsidRPr="0046621A">
                <w:rPr>
                  <w:rStyle w:val="Hipercze"/>
                  <w:rFonts w:ascii="Arial" w:hAnsi="Arial" w:cs="Arial"/>
                  <w:sz w:val="20"/>
                </w:rPr>
                <w:t>https://www.epeat.net/?category=pcsdisplays</w:t>
              </w:r>
            </w:hyperlink>
            <w:r w:rsidRPr="0046621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80D" w14:textId="77777777" w:rsidR="005C5A81" w:rsidRPr="0046621A" w:rsidRDefault="005C5A81" w:rsidP="00400225">
            <w:pPr>
              <w:pStyle w:val="Akapitzlist"/>
              <w:spacing w:after="0" w:line="360" w:lineRule="auto"/>
              <w:contextualSpacing w:val="0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3890CE46" w14:textId="77777777" w:rsidTr="00400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B8EA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20. Zainstalowane oprogramowanie systemowe</w:t>
            </w:r>
          </w:p>
          <w:p w14:paraId="0F4FD043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5982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Zainstalowany system operacyjny co najmniej Windows 10 Pro 64-bitowy w polskiej wersji językowej lub system równoważny wraz z nośnikiem instalacyjnym.</w:t>
            </w:r>
          </w:p>
          <w:p w14:paraId="7677886B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Klucz licencyjny systemu musi być zapisany trwale w BIOS i umożliwiać jego instalację bez potrzeby ręcznego wpisywania klucza licencyjnego. </w:t>
            </w:r>
          </w:p>
          <w:p w14:paraId="62B979EA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  <w:u w:val="single"/>
              </w:rPr>
            </w:pPr>
            <w:r w:rsidRPr="0046621A">
              <w:rPr>
                <w:rFonts w:ascii="Arial" w:hAnsi="Arial" w:cs="Arial"/>
                <w:i/>
                <w:sz w:val="20"/>
                <w:u w:val="single"/>
              </w:rPr>
              <w:t>Zamawiający nie dopuszcza zaoferowania systemu operacyjnego pochodzącego z rynku wtórnego, reaktywowanego systemu.</w:t>
            </w:r>
            <w:r w:rsidRPr="0046621A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0086E865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28E0AC3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System równoważny musi spełniać następujące wymagania poprzez wbudowane mechanizmy, bez użycia dodatkowych aplikacji:</w:t>
            </w:r>
          </w:p>
          <w:p w14:paraId="2E3FAACA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Dostępne dwa rodzaje graficznego interfejsu użytkownika:</w:t>
            </w:r>
          </w:p>
          <w:p w14:paraId="5B87E56B" w14:textId="77777777" w:rsidR="005C5A81" w:rsidRPr="0046621A" w:rsidRDefault="005C5A81" w:rsidP="005C5A81">
            <w:pPr>
              <w:widowControl/>
              <w:numPr>
                <w:ilvl w:val="1"/>
                <w:numId w:val="3"/>
              </w:numPr>
              <w:autoSpaceDE/>
              <w:autoSpaceDN/>
              <w:spacing w:line="360" w:lineRule="auto"/>
              <w:ind w:left="825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Klasyczny, umożliwiający obsługę przy pomocy klawiatury i myszy,</w:t>
            </w:r>
          </w:p>
          <w:p w14:paraId="07791224" w14:textId="77777777" w:rsidR="005C5A81" w:rsidRPr="0046621A" w:rsidRDefault="005C5A81" w:rsidP="005C5A81">
            <w:pPr>
              <w:widowControl/>
              <w:numPr>
                <w:ilvl w:val="1"/>
                <w:numId w:val="3"/>
              </w:numPr>
              <w:autoSpaceDE/>
              <w:autoSpaceDN/>
              <w:spacing w:line="360" w:lineRule="auto"/>
              <w:ind w:left="825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Dotykowy umożliwiający sterowanie dotykiem na urządzeniach typu tablet lub monitorach dotykowych.</w:t>
            </w:r>
          </w:p>
          <w:p w14:paraId="4AB9A181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Interfejsy użytkownika dostępne w wielu językach do wyboru – w tym polskim i angielskim.</w:t>
            </w:r>
          </w:p>
          <w:p w14:paraId="4E75B511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Zlokalizowane w języku polskim, co najmniej następujące elementy: menu, odtwarzacz multimediów, pomoc, komunikaty systemowe. </w:t>
            </w:r>
          </w:p>
          <w:p w14:paraId="14B039E6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Wbudowany system pomocy w języku polskim.</w:t>
            </w:r>
          </w:p>
          <w:p w14:paraId="47A9F589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Graficzne środowisko instalacji i konfiguracji dostępne w języku polskim.</w:t>
            </w:r>
          </w:p>
          <w:p w14:paraId="5E3D5F76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Funkcje związane z obsługą komputerów typu tablet, z wbudowanym modułem „uczenia się” pisma użytkownika – obsługa języka polskiego.</w:t>
            </w:r>
          </w:p>
          <w:p w14:paraId="738411C6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Funkcjonalność rozpoznawania mowy, pozwalającą na sterowanie komputerem głosowo, wraz z modułem „uczenia się” głosu użytkownika.</w:t>
            </w:r>
          </w:p>
          <w:p w14:paraId="2CAAC5F4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  <w:p w14:paraId="2E78E035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Możliwość dokonywania aktualizacji i poprawek systemu poprzez mechanizm zarządzany przez administratora systemu Zamawiającego.</w:t>
            </w:r>
          </w:p>
          <w:p w14:paraId="6E3E1E6D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Dostępność bezpłatnych biuletynów bezpieczeństwa związanych z działaniem systemu operacyjnego.</w:t>
            </w:r>
          </w:p>
          <w:p w14:paraId="60223F3F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Wbudowana zapora internetowa (firewall) dla ochrony połączeń internetowych; zintegrowana z systemem konsola do zarządzania ustawieniami zapory i regułami IP v4 </w:t>
            </w:r>
            <w:r w:rsidRPr="0046621A">
              <w:rPr>
                <w:rFonts w:ascii="Arial" w:hAnsi="Arial" w:cs="Arial"/>
                <w:sz w:val="20"/>
              </w:rPr>
              <w:br/>
              <w:t xml:space="preserve">i v6. </w:t>
            </w:r>
          </w:p>
          <w:p w14:paraId="1CE13346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Wbudowane mechanizmy ochrony antywirusowej i przeciw złośliwemu oprogramowaniu z zapewnionymi bezpłatnymi aktualizacjami.</w:t>
            </w:r>
          </w:p>
          <w:p w14:paraId="0678C0AD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Plug&amp;Play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>, Wi-Fi).</w:t>
            </w:r>
          </w:p>
          <w:p w14:paraId="618461D2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Funkcjonalność automatycznej zmiany domyślnej drukarki w zależności od sieci, do której podłączony jest komputer.</w:t>
            </w:r>
          </w:p>
          <w:p w14:paraId="2EA99F3D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14:paraId="3C4EBADB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Rozbudowane, definiowalne polityki bezpieczeństwa – polityki dla systemu operacyjnego i dla wskazanych aplikacji.</w:t>
            </w:r>
          </w:p>
          <w:p w14:paraId="33633947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14:paraId="00992AD8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0F0D4FFA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Mechanizm pozwalający użytkownikowi zarejestrowanego w systemie przedsiębiorstwa/instytucji urządzenia na uprawniony dostęp do zasobów tego systemu.</w:t>
            </w:r>
          </w:p>
          <w:p w14:paraId="0CC1E372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053F3F2F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Zintegrowany z systemem operacyjnym moduł synchronizacji komputera z urządzeniami zewnętrznymi.  </w:t>
            </w:r>
          </w:p>
          <w:p w14:paraId="666790BA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6621A">
              <w:rPr>
                <w:rFonts w:ascii="Arial" w:hAnsi="Arial" w:cs="Arial"/>
                <w:sz w:val="20"/>
                <w:lang w:val="en-US"/>
              </w:rPr>
              <w:t>Obsługa</w:t>
            </w:r>
            <w:proofErr w:type="spellEnd"/>
            <w:r w:rsidRPr="004662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6621A">
              <w:rPr>
                <w:rFonts w:ascii="Arial" w:hAnsi="Arial" w:cs="Arial"/>
                <w:sz w:val="20"/>
                <w:lang w:val="en-US"/>
              </w:rPr>
              <w:t>standardu</w:t>
            </w:r>
            <w:proofErr w:type="spellEnd"/>
            <w:r w:rsidRPr="0046621A">
              <w:rPr>
                <w:rFonts w:ascii="Arial" w:hAnsi="Arial" w:cs="Arial"/>
                <w:sz w:val="20"/>
                <w:lang w:val="en-US"/>
              </w:rPr>
              <w:t xml:space="preserve"> NFC (near field communication).</w:t>
            </w:r>
          </w:p>
          <w:p w14:paraId="2E281CEE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Możliwość przystosowania stanowiska dla osób niepełnosprawnych (np. słabo widzących). </w:t>
            </w:r>
          </w:p>
          <w:p w14:paraId="53EAA117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Wsparcie dla IPSEC oparte na politykach – wdrażanie IPSEC oparte na zestawach reguł definiujących ustawienia zarządzanych w sposób centralny.</w:t>
            </w:r>
          </w:p>
          <w:p w14:paraId="6B32C5E5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Automatyczne występowanie i używanie (wystawianie) certyfikatów PKI X.509.</w:t>
            </w:r>
          </w:p>
          <w:p w14:paraId="15DEDA87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Mechanizmy logowania do domeny w oparciu o:</w:t>
            </w:r>
          </w:p>
          <w:p w14:paraId="21723C18" w14:textId="77777777" w:rsidR="005C5A81" w:rsidRPr="0046621A" w:rsidRDefault="005C5A81" w:rsidP="005C5A81">
            <w:pPr>
              <w:widowControl/>
              <w:numPr>
                <w:ilvl w:val="1"/>
                <w:numId w:val="3"/>
              </w:numPr>
              <w:autoSpaceDE/>
              <w:autoSpaceDN/>
              <w:spacing w:line="360" w:lineRule="auto"/>
              <w:ind w:left="683" w:hanging="284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Login i hasło,</w:t>
            </w:r>
          </w:p>
          <w:p w14:paraId="36783066" w14:textId="77777777" w:rsidR="005C5A81" w:rsidRPr="0046621A" w:rsidRDefault="005C5A81" w:rsidP="005C5A81">
            <w:pPr>
              <w:widowControl/>
              <w:numPr>
                <w:ilvl w:val="1"/>
                <w:numId w:val="3"/>
              </w:numPr>
              <w:autoSpaceDE/>
              <w:autoSpaceDN/>
              <w:spacing w:line="360" w:lineRule="auto"/>
              <w:ind w:left="683" w:hanging="284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Karty z certyfikatami (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smartcard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>),</w:t>
            </w:r>
          </w:p>
          <w:p w14:paraId="3BE57E10" w14:textId="77777777" w:rsidR="005C5A81" w:rsidRPr="0046621A" w:rsidRDefault="005C5A81" w:rsidP="005C5A81">
            <w:pPr>
              <w:widowControl/>
              <w:numPr>
                <w:ilvl w:val="1"/>
                <w:numId w:val="3"/>
              </w:numPr>
              <w:autoSpaceDE/>
              <w:autoSpaceDN/>
              <w:spacing w:line="360" w:lineRule="auto"/>
              <w:ind w:left="683" w:hanging="284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Wirtualne karty (logowanie w oparciu o certyfikat chroniony poprzez moduł TPM).</w:t>
            </w:r>
          </w:p>
          <w:p w14:paraId="6E2210D0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Mechanizmy wieloelementowego uwierzytelniania.</w:t>
            </w:r>
          </w:p>
          <w:p w14:paraId="2BEBF612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Wsparcie dla uwierzytelniania na bazie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Kerberos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v. 5.</w:t>
            </w:r>
          </w:p>
          <w:p w14:paraId="164BE9C8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Wsparcie do uwierzytelnienia urządzenia na bazie certyfikatu.</w:t>
            </w:r>
          </w:p>
          <w:p w14:paraId="79545DF1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Wsparcie dla algorytmów Suite B (RFC 4869).</w:t>
            </w:r>
          </w:p>
          <w:p w14:paraId="34A4E0E9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Wsparcie wbudowanej zapory ogniowej dla Internet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Key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Exchange v. 2 (IKEv2) dla warstwy transportowej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IPsec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>.</w:t>
            </w:r>
          </w:p>
          <w:p w14:paraId="345515F3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Wbudowane narzędzia służące do administracji, do wykonywania kopii zapasowych polityk i ich odtwarzania oraz generowania raportów z ustawień polityk.</w:t>
            </w:r>
          </w:p>
          <w:p w14:paraId="3F37D3CF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Wsparcie dla środowisk Java i .NET Framework 4.x – możliwość uruchomienia aplikacji działających we wskazanych środowiskach.</w:t>
            </w:r>
          </w:p>
          <w:p w14:paraId="5BC57F71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Wsparcie dla JScript i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VBScript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– możliwość uruchamiania interpretera poleceń.</w:t>
            </w:r>
          </w:p>
          <w:p w14:paraId="42B70AAF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Zdalna pomoc i współdzielenie aplikacji – możliwość zdalnego przejęcia sesji zalogowanego użytkownika celem rozwiązania problemu z komputerem,</w:t>
            </w:r>
          </w:p>
          <w:p w14:paraId="0321C65A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41C317F4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Rozwiązanie ma umożliwiające wdrożenie nowego obrazu poprzez zdalną instalację.</w:t>
            </w:r>
          </w:p>
          <w:p w14:paraId="747ABA64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Transakcyjny system plików pozwalający na stosowanie przydziałów (ang.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quota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>) na dysku dla użytkowników oraz zapewniający większą niezawodność i pozwalający tworzyć kopie zapasowe.</w:t>
            </w:r>
          </w:p>
          <w:p w14:paraId="234D7B80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Zarządzanie kontami użytkowników sieci oraz urządzeniami sieciowymi tj. drukarki, modemy, woluminy dyskowe, usługi katalogowe.</w:t>
            </w:r>
          </w:p>
          <w:p w14:paraId="6E87AA00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Udostępnianie modemu.</w:t>
            </w:r>
          </w:p>
          <w:p w14:paraId="6591AD4C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20B21AA6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Możliwość przywracania obrazu plików systemowych do uprzednio zapisanej postaci.</w:t>
            </w:r>
          </w:p>
          <w:p w14:paraId="6BB50434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Identyfikacja sieci komputerowych, do których jest podłączony system operacyjny, zapamiętywanie ustawień i przypisywanie do min. 3 kategorii bezpieczeństwa </w:t>
            </w:r>
            <w:r w:rsidRPr="0046621A">
              <w:rPr>
                <w:rFonts w:ascii="Arial" w:hAnsi="Arial" w:cs="Arial"/>
                <w:sz w:val="20"/>
              </w:rPr>
              <w:br/>
              <w:t>(z predefiniowanymi odpowiednio do kategorii ustawieniami zapory sieciowej, udostępniania plików itp.).</w:t>
            </w:r>
          </w:p>
          <w:p w14:paraId="1A6F3E0C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Możliwość blokowania lub dopuszczania dowolnych urządzeń peryferyjnych za pomocą polityk grupowych (np. przy użyciu numerów identyfikacyjnych sprzętu).</w:t>
            </w:r>
          </w:p>
          <w:p w14:paraId="38AC0F47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Wbudowany mechanizm wirtualizacji typu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hypervisor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, umożliwiający, zgodnie </w:t>
            </w:r>
            <w:r w:rsidRPr="0046621A">
              <w:rPr>
                <w:rFonts w:ascii="Arial" w:hAnsi="Arial" w:cs="Arial"/>
                <w:sz w:val="20"/>
              </w:rPr>
              <w:br/>
              <w:t>z uprawnieniami licencyjnymi, uruchomienie do 4 maszyn wirtualnych.</w:t>
            </w:r>
          </w:p>
          <w:p w14:paraId="3BD2E41F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Mechanizm szyfrowania dysków wewnętrznych i zewnętrznych z możliwością szyfrowania ograniczonego do danych użytkownika.</w:t>
            </w:r>
          </w:p>
          <w:p w14:paraId="24863E1F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Wbudowane w system narzędzie do szyfrowania partycji systemowych komputera, </w:t>
            </w:r>
            <w:r w:rsidRPr="0046621A">
              <w:rPr>
                <w:rFonts w:ascii="Arial" w:hAnsi="Arial" w:cs="Arial"/>
                <w:sz w:val="20"/>
              </w:rPr>
              <w:br/>
              <w:t xml:space="preserve">z możliwością przechowywania certyfikatów w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mikrochipie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TPM (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Trusted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Platform Module) w wersji minimum 1.2 lub na kluczach pamięci przenośnej USB.</w:t>
            </w:r>
          </w:p>
          <w:p w14:paraId="4D0A0254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14082CE8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Możliwość tworzenia i przechowywania kopii zapasowych kluczy odzyskiwania do szyfrowania partycji w usługach katalogowych.</w:t>
            </w:r>
          </w:p>
          <w:p w14:paraId="18AF7256" w14:textId="77777777" w:rsidR="005C5A81" w:rsidRPr="0046621A" w:rsidRDefault="005C5A81" w:rsidP="005C5A81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left="39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 w:rsidRPr="0046621A">
              <w:rPr>
                <w:rFonts w:ascii="Arial" w:hAnsi="Arial" w:cs="Arial"/>
                <w:sz w:val="20"/>
              </w:rPr>
              <w:t>reinstalacji</w:t>
            </w:r>
            <w:proofErr w:type="spellEnd"/>
            <w:r w:rsidRPr="0046621A">
              <w:rPr>
                <w:rFonts w:ascii="Arial" w:hAnsi="Arial" w:cs="Arial"/>
                <w:sz w:val="20"/>
              </w:rPr>
              <w:t xml:space="preserve"> systemu.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D9C" w14:textId="77777777" w:rsidR="005C5A81" w:rsidRPr="0046621A" w:rsidRDefault="005C5A81" w:rsidP="0040022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C5A81" w:rsidRPr="0046621A" w14:paraId="14CCFEA8" w14:textId="77777777" w:rsidTr="00400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1A8A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>21. Gwarancja – zgodnie z wymaganiami i kryteriami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E211" w14:textId="77777777" w:rsidR="005C5A81" w:rsidRPr="0046621A" w:rsidRDefault="005C5A81" w:rsidP="00400225">
            <w:pPr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Gwarancji jakości producenta:</w:t>
            </w:r>
          </w:p>
          <w:p w14:paraId="2111A063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 xml:space="preserve">Gwarancja 36 miesięcy na części i robociznę realizowana w miejscu eksploatacji sprzętu z potwierdzeniem rejestracji serwisowej do 4h od zgłoszenia. </w:t>
            </w:r>
          </w:p>
          <w:p w14:paraId="3C42B342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Firma serwisująca musi posiadać ISO 9001:2000 na świadczenie usług serwisowych oraz posiadać autoryzacje producenta komputera – dokumenty potwierdzające załączyć do oferty;</w:t>
            </w:r>
          </w:p>
          <w:p w14:paraId="65E3B4C7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Dostępność części zapasowych do 5 lat od zakupu komputera;</w:t>
            </w:r>
          </w:p>
          <w:p w14:paraId="6B9B3345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Komputer nie będzie posiadał plomb lub innych elementów ograniczających dostęp do wnętrza;</w:t>
            </w:r>
          </w:p>
          <w:p w14:paraId="3C0ADD5F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Udzielona gwarancja nie będzie ograniczała w rozbudowie lub rekonfiguracji komputera o ile będą one wykonywane zgodnie z wymogami technicznymi producenta.</w:t>
            </w:r>
          </w:p>
          <w:p w14:paraId="07DB505E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Możliwość realizacji gwarancji bezpośrednio przez serwis producenta  z pominięciem dostawcy</w:t>
            </w:r>
          </w:p>
          <w:p w14:paraId="03A6EB3D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Możliwość pobierania dokumentacji i sterowników z jednej lokalizacji w sieci Internet</w:t>
            </w:r>
          </w:p>
          <w:p w14:paraId="359B2268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Możliwość uzyskania pomocy technicznej producenta w języku polskim</w:t>
            </w:r>
          </w:p>
          <w:p w14:paraId="1B83BFCF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Ogólnopolska, telefoniczna infolinia/linia techniczna producenta komputera, dostępna (ogólnopolski numer o zredukowanej odpłatności 0-800/0-801, należy podać numer telefonu) w czasie obowiązywania gwarancji na sprzęt i umożliwiająca po podaniu numeru seryjnego urządzenia weryfikację szczegółowej sprzętowej konfiguracji fabrycznej, okresu i typu obowiązującej gwarancji, obecności fabrycznej licencji dla systemu operacyjnego</w:t>
            </w:r>
          </w:p>
          <w:p w14:paraId="28621B61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Możliwość aktualizacji i pobrania sterowników do oferowanego modelu komputera w najnowszych certyfikowanych wersjach bezpośrednio z sieci Internet za pośrednictwem strony www producenta komputera</w:t>
            </w:r>
          </w:p>
          <w:p w14:paraId="56C10E09" w14:textId="77777777" w:rsidR="005C5A81" w:rsidRPr="0046621A" w:rsidRDefault="005C5A81" w:rsidP="005C5A81">
            <w:pPr>
              <w:widowControl/>
              <w:numPr>
                <w:ilvl w:val="1"/>
                <w:numId w:val="17"/>
              </w:numPr>
              <w:autoSpaceDE/>
              <w:autoSpaceDN/>
              <w:spacing w:after="200"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Możliwość weryfikacji czasu obowiązywania i reżimu gwarancji bezpośrednio z sieci Internet za pośrednictwem strony www producenta komputera</w:t>
            </w:r>
          </w:p>
          <w:p w14:paraId="47445925" w14:textId="77777777" w:rsidR="005C5A81" w:rsidRPr="0046621A" w:rsidRDefault="005C5A81" w:rsidP="00400225">
            <w:pPr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sz w:val="20"/>
              </w:rPr>
              <w:t>Jako potwierdzenie udzielenia wyżej wymienionych warunków serwisowych oferent dołączy do oferty stosowne oświadczenie upoważnionego przedstawiciela producenta sprzętu.</w:t>
            </w:r>
          </w:p>
          <w:p w14:paraId="241CAD2C" w14:textId="77777777" w:rsidR="005C5A81" w:rsidRPr="0046621A" w:rsidRDefault="005C5A81" w:rsidP="00400225">
            <w:pPr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Inne</w:t>
            </w:r>
          </w:p>
          <w:p w14:paraId="7B2C2475" w14:textId="77777777" w:rsidR="005C5A81" w:rsidRPr="0046621A" w:rsidRDefault="005C5A81" w:rsidP="005C5A81">
            <w:pPr>
              <w:pStyle w:val="Akapitzlist"/>
              <w:numPr>
                <w:ilvl w:val="1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 xml:space="preserve">Dostarczony sprzęt musi być fabrycznie nowy, musi pochodzić z oficjalnego kanału sprzedaży producenta na rynek polski. Wszystkie komponenty i podzespoły komputera muszą pochodzić od jednego producenta lub muszą być przez niego certyfikowane. Wymagane oświadczenie producenta, że oferowany do przetargu sprzęt spełnia ten wymóg. </w:t>
            </w:r>
          </w:p>
          <w:p w14:paraId="677F9489" w14:textId="77777777" w:rsidR="005C5A81" w:rsidRPr="0046621A" w:rsidRDefault="005C5A81" w:rsidP="005C5A81">
            <w:pPr>
              <w:pStyle w:val="Akapitzlist"/>
              <w:numPr>
                <w:ilvl w:val="1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 xml:space="preserve">W zestawie kabel zasilający min 1,5m oraz kabel sieciowy RJ45 min 3m. </w:t>
            </w:r>
          </w:p>
          <w:p w14:paraId="24724BAD" w14:textId="77777777" w:rsidR="005C5A81" w:rsidRPr="0046621A" w:rsidRDefault="005C5A81" w:rsidP="005C5A81">
            <w:pPr>
              <w:pStyle w:val="Akapitzlist"/>
              <w:numPr>
                <w:ilvl w:val="1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Wyklucza się możliwość używania jakichkolwiek podzespołów i części, które nie zostały przebadane przez producenta komputera na okoliczność zgodności z oferowanym  komputerem i które mogą wpłynąć na warunki gwarancji</w:t>
            </w:r>
          </w:p>
          <w:p w14:paraId="4FCDE1A5" w14:textId="77777777" w:rsidR="005C5A81" w:rsidRPr="0046621A" w:rsidRDefault="005C5A81" w:rsidP="00400225">
            <w:pPr>
              <w:rPr>
                <w:rFonts w:ascii="Arial" w:hAnsi="Arial" w:cs="Arial"/>
                <w:color w:val="000000"/>
                <w:sz w:val="20"/>
              </w:rPr>
            </w:pPr>
            <w:r w:rsidRPr="0046621A">
              <w:rPr>
                <w:rFonts w:ascii="Arial" w:hAnsi="Arial" w:cs="Arial"/>
                <w:color w:val="000000"/>
                <w:sz w:val="20"/>
              </w:rPr>
              <w:t>Certyfikat producenta komputera,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0D1" w14:textId="77777777" w:rsidR="005C5A81" w:rsidRPr="0046621A" w:rsidRDefault="005C5A81" w:rsidP="00400225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C5A81" w:rsidRPr="0046621A" w14:paraId="66F45FD5" w14:textId="77777777" w:rsidTr="00400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2683" w14:textId="77777777" w:rsidR="005C5A81" w:rsidRPr="00556E40" w:rsidRDefault="005C5A81" w:rsidP="00400225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556E40">
              <w:rPr>
                <w:rFonts w:ascii="Arial" w:hAnsi="Arial" w:cs="Arial"/>
                <w:color w:val="000000"/>
                <w:sz w:val="20"/>
              </w:rPr>
              <w:t xml:space="preserve">22. Adapter </w:t>
            </w:r>
            <w:proofErr w:type="spellStart"/>
            <w:r w:rsidRPr="00556E40">
              <w:rPr>
                <w:rFonts w:ascii="Arial" w:hAnsi="Arial" w:cs="Arial"/>
                <w:color w:val="000000"/>
                <w:sz w:val="20"/>
              </w:rPr>
              <w:t>DisplayPort</w:t>
            </w:r>
            <w:proofErr w:type="spellEnd"/>
            <w:r w:rsidRPr="00556E40">
              <w:rPr>
                <w:rFonts w:ascii="Arial" w:hAnsi="Arial" w:cs="Arial"/>
                <w:color w:val="000000"/>
                <w:sz w:val="20"/>
              </w:rPr>
              <w:t xml:space="preserve"> - VGA 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1AE6" w14:textId="77777777" w:rsidR="005C5A81" w:rsidRPr="00646376" w:rsidRDefault="005C5A81" w:rsidP="005C5A8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Theme="minorHAnsi"/>
              </w:rPr>
            </w:pPr>
            <w:r>
              <w:t xml:space="preserve">Konwertuje sygnał </w:t>
            </w:r>
            <w:proofErr w:type="spellStart"/>
            <w:r>
              <w:t>DisplayPort</w:t>
            </w:r>
            <w:proofErr w:type="spellEnd"/>
            <w:r>
              <w:t xml:space="preserve"> do sygnału VGA </w:t>
            </w:r>
          </w:p>
          <w:p w14:paraId="10C0C2F3" w14:textId="77777777" w:rsidR="005C5A81" w:rsidRDefault="005C5A81" w:rsidP="005C5A81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DisplayPort</w:t>
            </w:r>
            <w:proofErr w:type="spellEnd"/>
            <w:r>
              <w:t xml:space="preserve"> 20-pin, v1.2 </w:t>
            </w:r>
          </w:p>
          <w:p w14:paraId="4E038C23" w14:textId="77777777" w:rsidR="005C5A81" w:rsidRDefault="005C5A81" w:rsidP="005C5A81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>
              <w:t xml:space="preserve">Wsparcie do 10,8 </w:t>
            </w:r>
            <w:proofErr w:type="spellStart"/>
            <w:r>
              <w:t>Gbps</w:t>
            </w:r>
            <w:proofErr w:type="spellEnd"/>
            <w:r>
              <w:t xml:space="preserve"> </w:t>
            </w:r>
            <w:proofErr w:type="spellStart"/>
            <w:r>
              <w:t>przesyłu</w:t>
            </w:r>
            <w:proofErr w:type="spellEnd"/>
            <w:r>
              <w:t xml:space="preserve"> wideo </w:t>
            </w:r>
          </w:p>
          <w:p w14:paraId="79240CD4" w14:textId="77777777" w:rsidR="005C5A81" w:rsidRDefault="005C5A81" w:rsidP="005C5A81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>
              <w:t xml:space="preserve">Rozdzielczość QXGA (2560 x1600) </w:t>
            </w:r>
          </w:p>
          <w:p w14:paraId="708CC248" w14:textId="77777777" w:rsidR="005C5A81" w:rsidRDefault="005C5A81" w:rsidP="00E44676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>
              <w:t xml:space="preserve">Obsługuje dwustronny </w:t>
            </w:r>
            <w:proofErr w:type="spellStart"/>
            <w:r>
              <w:t>przesył</w:t>
            </w:r>
            <w:proofErr w:type="spellEnd"/>
            <w:r>
              <w:t xml:space="preserve"> </w:t>
            </w:r>
            <w:proofErr w:type="spellStart"/>
            <w:r>
              <w:t>kanalem</w:t>
            </w:r>
            <w:proofErr w:type="spellEnd"/>
            <w:r>
              <w:t xml:space="preserve"> AUX z prędkością 1MBPS</w:t>
            </w:r>
          </w:p>
          <w:p w14:paraId="4BAC6B17" w14:textId="42E82862" w:rsidR="00E44676" w:rsidRPr="00E44676" w:rsidRDefault="00E44676" w:rsidP="00E44676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>
              <w:t xml:space="preserve">Złącza - </w:t>
            </w:r>
            <w:proofErr w:type="spellStart"/>
            <w:r>
              <w:rPr>
                <w:lang w:eastAsia="pl-PL"/>
              </w:rPr>
              <w:t>DisplayPort</w:t>
            </w:r>
            <w:proofErr w:type="spellEnd"/>
            <w:r>
              <w:rPr>
                <w:lang w:eastAsia="pl-PL"/>
              </w:rPr>
              <w:t xml:space="preserve"> Męska</w:t>
            </w:r>
            <w:r>
              <w:rPr>
                <w:lang w:eastAsia="pl-PL"/>
              </w:rPr>
              <w:t xml:space="preserve"> , </w:t>
            </w:r>
            <w:r>
              <w:rPr>
                <w:lang w:eastAsia="pl-PL"/>
              </w:rPr>
              <w:t>D-</w:t>
            </w:r>
            <w:proofErr w:type="spellStart"/>
            <w:r>
              <w:rPr>
                <w:lang w:eastAsia="pl-PL"/>
              </w:rPr>
              <w:t>sub</w:t>
            </w:r>
            <w:proofErr w:type="spellEnd"/>
            <w:r>
              <w:rPr>
                <w:lang w:eastAsia="pl-PL"/>
              </w:rPr>
              <w:t xml:space="preserve"> 15pin Żeńska</w:t>
            </w:r>
            <w:bookmarkStart w:id="4" w:name="_GoBack"/>
            <w:bookmarkEnd w:id="4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3E3" w14:textId="77777777" w:rsidR="005C5A81" w:rsidRDefault="005C5A81" w:rsidP="00400225">
            <w:pPr>
              <w:ind w:left="360"/>
            </w:pPr>
          </w:p>
        </w:tc>
      </w:tr>
    </w:tbl>
    <w:p w14:paraId="480D5C73" w14:textId="77777777" w:rsidR="005C5A81" w:rsidRDefault="005C5A81" w:rsidP="005C5A81">
      <w:pPr>
        <w:rPr>
          <w:rFonts w:ascii="Arial" w:hAnsi="Arial" w:cs="Arial"/>
          <w:sz w:val="20"/>
        </w:rPr>
      </w:pPr>
    </w:p>
    <w:p w14:paraId="43A07B19" w14:textId="77777777" w:rsidR="005C5A81" w:rsidRPr="007D39BA" w:rsidRDefault="005C5A81" w:rsidP="005C5A81">
      <w:pPr>
        <w:rPr>
          <w:rFonts w:ascii="Arial" w:hAnsi="Arial" w:cs="Arial"/>
          <w:b/>
          <w:sz w:val="20"/>
        </w:rPr>
      </w:pPr>
      <w:r w:rsidRPr="007D39BA">
        <w:rPr>
          <w:rFonts w:ascii="Arial" w:hAnsi="Arial" w:cs="Arial"/>
          <w:b/>
          <w:sz w:val="20"/>
        </w:rPr>
        <w:t>Pakiet oprogramowania biurowego Microsoft Office Home &amp; Business 2019 PL</w:t>
      </w:r>
      <w:r>
        <w:rPr>
          <w:rFonts w:ascii="Arial" w:hAnsi="Arial" w:cs="Arial"/>
          <w:b/>
          <w:sz w:val="20"/>
        </w:rPr>
        <w:t xml:space="preserve"> – </w:t>
      </w:r>
      <w:r>
        <w:rPr>
          <w:rFonts w:ascii="Arial" w:hAnsi="Arial" w:cs="Arial"/>
          <w:b/>
          <w:sz w:val="20"/>
        </w:rPr>
        <w:tab/>
        <w:t>10 szt.</w:t>
      </w:r>
    </w:p>
    <w:tbl>
      <w:tblPr>
        <w:tblStyle w:val="Tabela-Siatka"/>
        <w:tblW w:w="5475" w:type="pct"/>
        <w:tblInd w:w="-289" w:type="dxa"/>
        <w:tblLook w:val="04A0" w:firstRow="1" w:lastRow="0" w:firstColumn="1" w:lastColumn="0" w:noHBand="0" w:noVBand="1"/>
      </w:tblPr>
      <w:tblGrid>
        <w:gridCol w:w="1451"/>
        <w:gridCol w:w="6829"/>
        <w:gridCol w:w="1643"/>
      </w:tblGrid>
      <w:tr w:rsidR="005C5A81" w14:paraId="7CA14153" w14:textId="77777777" w:rsidTr="002A7F64">
        <w:tc>
          <w:tcPr>
            <w:tcW w:w="731" w:type="pct"/>
            <w:vAlign w:val="center"/>
          </w:tcPr>
          <w:p w14:paraId="7E9F4751" w14:textId="77777777" w:rsidR="005C5A81" w:rsidRDefault="005C5A81" w:rsidP="00400225">
            <w:pPr>
              <w:rPr>
                <w:rFonts w:ascii="Arial" w:hAnsi="Arial" w:cs="Arial"/>
                <w:sz w:val="20"/>
              </w:rPr>
            </w:pPr>
            <w:r>
              <w:rPr>
                <w:lang w:eastAsia="pl-PL"/>
              </w:rPr>
              <w:t>Rodzaj</w:t>
            </w:r>
          </w:p>
        </w:tc>
        <w:tc>
          <w:tcPr>
            <w:tcW w:w="3441" w:type="pct"/>
            <w:vAlign w:val="center"/>
          </w:tcPr>
          <w:p w14:paraId="3F7FFB71" w14:textId="77777777" w:rsidR="005C5A81" w:rsidRDefault="005C5A81" w:rsidP="00400225">
            <w:pPr>
              <w:rPr>
                <w:rFonts w:ascii="Arial" w:hAnsi="Arial" w:cs="Arial"/>
                <w:sz w:val="20"/>
              </w:rPr>
            </w:pPr>
            <w:r>
              <w:rPr>
                <w:lang w:eastAsia="pl-PL"/>
              </w:rPr>
              <w:t xml:space="preserve">Biurowe </w:t>
            </w:r>
          </w:p>
        </w:tc>
        <w:tc>
          <w:tcPr>
            <w:tcW w:w="828" w:type="pct"/>
          </w:tcPr>
          <w:p w14:paraId="2BDDF232" w14:textId="77777777" w:rsidR="005C5A81" w:rsidRDefault="005C5A81" w:rsidP="00400225">
            <w:pPr>
              <w:jc w:val="center"/>
              <w:rPr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Parametr oferowany TAK/NIE</w:t>
            </w:r>
          </w:p>
        </w:tc>
      </w:tr>
      <w:tr w:rsidR="005C5A81" w14:paraId="4CC87015" w14:textId="77777777" w:rsidTr="002A7F64">
        <w:tc>
          <w:tcPr>
            <w:tcW w:w="731" w:type="pct"/>
            <w:vAlign w:val="center"/>
          </w:tcPr>
          <w:p w14:paraId="51541333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Wersja</w:t>
            </w:r>
          </w:p>
        </w:tc>
        <w:tc>
          <w:tcPr>
            <w:tcW w:w="3441" w:type="pct"/>
            <w:vAlign w:val="center"/>
          </w:tcPr>
          <w:p w14:paraId="217163B8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Cyfrowa / do pobrania </w:t>
            </w:r>
          </w:p>
        </w:tc>
        <w:tc>
          <w:tcPr>
            <w:tcW w:w="828" w:type="pct"/>
          </w:tcPr>
          <w:p w14:paraId="160B5BAB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602CA3CF" w14:textId="77777777" w:rsidTr="002A7F64">
        <w:tc>
          <w:tcPr>
            <w:tcW w:w="731" w:type="pct"/>
            <w:vAlign w:val="center"/>
          </w:tcPr>
          <w:p w14:paraId="4080C1FA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Licencja</w:t>
            </w:r>
          </w:p>
        </w:tc>
        <w:tc>
          <w:tcPr>
            <w:tcW w:w="3441" w:type="pct"/>
            <w:vAlign w:val="center"/>
          </w:tcPr>
          <w:p w14:paraId="269E6053" w14:textId="77777777" w:rsidR="005C5A81" w:rsidRDefault="005C5A81" w:rsidP="005C5A81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Dla małych firm </w:t>
            </w:r>
          </w:p>
          <w:p w14:paraId="24E21517" w14:textId="6F43FE7F" w:rsidR="005C5A81" w:rsidRPr="00E44676" w:rsidRDefault="00E44676" w:rsidP="00400225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Do użytku domowego</w:t>
            </w:r>
          </w:p>
        </w:tc>
        <w:tc>
          <w:tcPr>
            <w:tcW w:w="828" w:type="pct"/>
          </w:tcPr>
          <w:p w14:paraId="104FCB08" w14:textId="77777777" w:rsidR="005C5A81" w:rsidRDefault="005C5A81" w:rsidP="00400225">
            <w:pPr>
              <w:spacing w:before="100" w:beforeAutospacing="1" w:after="100" w:afterAutospacing="1"/>
              <w:ind w:left="720"/>
              <w:jc w:val="center"/>
              <w:rPr>
                <w:rFonts w:eastAsia="Times New Roman"/>
                <w:lang w:eastAsia="pl-PL"/>
              </w:rPr>
            </w:pPr>
          </w:p>
        </w:tc>
      </w:tr>
      <w:tr w:rsidR="005C5A81" w14:paraId="1D6016F6" w14:textId="77777777" w:rsidTr="002A7F64">
        <w:tc>
          <w:tcPr>
            <w:tcW w:w="731" w:type="pct"/>
            <w:vAlign w:val="center"/>
          </w:tcPr>
          <w:p w14:paraId="2B9514FE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Czas trwania</w:t>
            </w:r>
          </w:p>
        </w:tc>
        <w:tc>
          <w:tcPr>
            <w:tcW w:w="3441" w:type="pct"/>
            <w:vAlign w:val="center"/>
          </w:tcPr>
          <w:p w14:paraId="1153111E" w14:textId="77777777" w:rsidR="005C5A81" w:rsidRDefault="005C5A81" w:rsidP="00400225">
            <w:pPr>
              <w:spacing w:before="100" w:beforeAutospacing="1" w:after="100" w:afterAutospacing="1"/>
              <w:ind w:left="360"/>
              <w:rPr>
                <w:rFonts w:eastAsia="Times New Roman"/>
                <w:lang w:eastAsia="pl-PL"/>
              </w:rPr>
            </w:pPr>
            <w:r>
              <w:rPr>
                <w:lang w:eastAsia="pl-PL"/>
              </w:rPr>
              <w:t xml:space="preserve">Licencja wieczysta </w:t>
            </w:r>
          </w:p>
        </w:tc>
        <w:tc>
          <w:tcPr>
            <w:tcW w:w="828" w:type="pct"/>
          </w:tcPr>
          <w:p w14:paraId="3AC47242" w14:textId="77777777" w:rsidR="005C5A81" w:rsidRDefault="005C5A81" w:rsidP="00400225">
            <w:pPr>
              <w:spacing w:before="100" w:beforeAutospacing="1" w:after="100" w:afterAutospacing="1"/>
              <w:ind w:left="360"/>
              <w:jc w:val="center"/>
              <w:rPr>
                <w:lang w:eastAsia="pl-PL"/>
              </w:rPr>
            </w:pPr>
          </w:p>
        </w:tc>
      </w:tr>
      <w:tr w:rsidR="005C5A81" w14:paraId="3465983F" w14:textId="77777777" w:rsidTr="002A7F64">
        <w:tc>
          <w:tcPr>
            <w:tcW w:w="731" w:type="pct"/>
            <w:vAlign w:val="center"/>
          </w:tcPr>
          <w:p w14:paraId="2BCB7F8C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Szczegóły licencji</w:t>
            </w:r>
          </w:p>
        </w:tc>
        <w:tc>
          <w:tcPr>
            <w:tcW w:w="3441" w:type="pct"/>
            <w:vAlign w:val="center"/>
          </w:tcPr>
          <w:p w14:paraId="38E8D8FB" w14:textId="77777777" w:rsidR="005C5A81" w:rsidRDefault="005C5A81" w:rsidP="00400225">
            <w:pPr>
              <w:spacing w:before="100" w:beforeAutospacing="1" w:after="100" w:afterAutospacing="1"/>
              <w:ind w:left="360"/>
              <w:rPr>
                <w:lang w:eastAsia="pl-PL"/>
              </w:rPr>
            </w:pPr>
            <w:r>
              <w:rPr>
                <w:lang w:eastAsia="pl-PL"/>
              </w:rPr>
              <w:t>Licencja do użytku domowego i komercyjnego</w:t>
            </w:r>
          </w:p>
        </w:tc>
        <w:tc>
          <w:tcPr>
            <w:tcW w:w="828" w:type="pct"/>
          </w:tcPr>
          <w:p w14:paraId="57D8D4B9" w14:textId="77777777" w:rsidR="005C5A81" w:rsidRDefault="005C5A81" w:rsidP="00400225">
            <w:pPr>
              <w:spacing w:before="100" w:beforeAutospacing="1" w:after="100" w:afterAutospacing="1"/>
              <w:ind w:left="360"/>
              <w:jc w:val="center"/>
              <w:rPr>
                <w:lang w:eastAsia="pl-PL"/>
              </w:rPr>
            </w:pPr>
          </w:p>
        </w:tc>
      </w:tr>
      <w:tr w:rsidR="005C5A81" w14:paraId="36E1C9B1" w14:textId="77777777" w:rsidTr="002A7F64">
        <w:tc>
          <w:tcPr>
            <w:tcW w:w="731" w:type="pct"/>
            <w:vAlign w:val="center"/>
          </w:tcPr>
          <w:p w14:paraId="388E76F6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Architektura</w:t>
            </w:r>
          </w:p>
        </w:tc>
        <w:tc>
          <w:tcPr>
            <w:tcW w:w="3441" w:type="pct"/>
            <w:vAlign w:val="center"/>
          </w:tcPr>
          <w:p w14:paraId="4C769F8C" w14:textId="77777777" w:rsidR="005C5A81" w:rsidRDefault="005C5A81" w:rsidP="005C5A81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32-bit </w:t>
            </w:r>
          </w:p>
          <w:p w14:paraId="7DD39213" w14:textId="77777777" w:rsidR="005C5A81" w:rsidRPr="000D2AD3" w:rsidRDefault="005C5A81" w:rsidP="005C5A81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0D2AD3">
              <w:rPr>
                <w:rFonts w:eastAsia="Times New Roman"/>
                <w:lang w:eastAsia="pl-PL"/>
              </w:rPr>
              <w:t xml:space="preserve">64-bit </w:t>
            </w:r>
          </w:p>
        </w:tc>
        <w:tc>
          <w:tcPr>
            <w:tcW w:w="828" w:type="pct"/>
          </w:tcPr>
          <w:p w14:paraId="3897E966" w14:textId="77777777" w:rsidR="005C5A81" w:rsidRDefault="005C5A81" w:rsidP="00400225">
            <w:pPr>
              <w:spacing w:before="100" w:beforeAutospacing="1" w:after="100" w:afterAutospacing="1"/>
              <w:ind w:left="720"/>
              <w:rPr>
                <w:rFonts w:eastAsia="Times New Roman"/>
                <w:lang w:eastAsia="pl-PL"/>
              </w:rPr>
            </w:pPr>
          </w:p>
        </w:tc>
      </w:tr>
      <w:tr w:rsidR="005C5A81" w14:paraId="4C49D483" w14:textId="77777777" w:rsidTr="002A7F64">
        <w:tc>
          <w:tcPr>
            <w:tcW w:w="731" w:type="pct"/>
            <w:vAlign w:val="center"/>
          </w:tcPr>
          <w:p w14:paraId="0F036AC3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Wersja językowa</w:t>
            </w:r>
          </w:p>
        </w:tc>
        <w:tc>
          <w:tcPr>
            <w:tcW w:w="3441" w:type="pct"/>
            <w:vAlign w:val="center"/>
          </w:tcPr>
          <w:p w14:paraId="11237E0E" w14:textId="77777777" w:rsidR="005C5A81" w:rsidRDefault="005C5A81" w:rsidP="00400225">
            <w:pPr>
              <w:spacing w:before="100" w:beforeAutospacing="1" w:after="100" w:afterAutospacing="1"/>
              <w:ind w:left="720"/>
              <w:rPr>
                <w:rFonts w:eastAsia="Times New Roman"/>
                <w:lang w:eastAsia="pl-PL"/>
              </w:rPr>
            </w:pPr>
            <w:r>
              <w:rPr>
                <w:lang w:eastAsia="pl-PL"/>
              </w:rPr>
              <w:t xml:space="preserve">Wielojęzyczna </w:t>
            </w:r>
          </w:p>
        </w:tc>
        <w:tc>
          <w:tcPr>
            <w:tcW w:w="828" w:type="pct"/>
          </w:tcPr>
          <w:p w14:paraId="19A78FF1" w14:textId="77777777" w:rsidR="005C5A81" w:rsidRDefault="005C5A81" w:rsidP="00400225">
            <w:pPr>
              <w:spacing w:before="100" w:beforeAutospacing="1" w:after="100" w:afterAutospacing="1"/>
              <w:ind w:left="720"/>
              <w:jc w:val="center"/>
              <w:rPr>
                <w:lang w:eastAsia="pl-PL"/>
              </w:rPr>
            </w:pPr>
          </w:p>
        </w:tc>
      </w:tr>
      <w:tr w:rsidR="005C5A81" w14:paraId="456FDF17" w14:textId="77777777" w:rsidTr="002A7F64">
        <w:tc>
          <w:tcPr>
            <w:tcW w:w="731" w:type="pct"/>
            <w:vAlign w:val="center"/>
          </w:tcPr>
          <w:p w14:paraId="3FC4FF0F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Zawartość zestawu</w:t>
            </w:r>
          </w:p>
        </w:tc>
        <w:tc>
          <w:tcPr>
            <w:tcW w:w="3441" w:type="pct"/>
            <w:vAlign w:val="center"/>
          </w:tcPr>
          <w:p w14:paraId="0379C5CF" w14:textId="77777777" w:rsidR="005C5A81" w:rsidRDefault="005C5A81" w:rsidP="005C5A81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Word</w:t>
            </w:r>
          </w:p>
          <w:p w14:paraId="71A64421" w14:textId="77777777" w:rsidR="005C5A81" w:rsidRDefault="005C5A81" w:rsidP="005C5A81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Excel</w:t>
            </w:r>
          </w:p>
          <w:p w14:paraId="12908D18" w14:textId="77777777" w:rsidR="005C5A81" w:rsidRDefault="005C5A81" w:rsidP="005C5A81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PowerPoint</w:t>
            </w:r>
          </w:p>
          <w:p w14:paraId="4E8182CC" w14:textId="77777777" w:rsidR="005C5A81" w:rsidRDefault="005C5A81" w:rsidP="005C5A81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OneNote</w:t>
            </w:r>
          </w:p>
          <w:p w14:paraId="5983A4F9" w14:textId="77777777" w:rsidR="005C5A81" w:rsidRPr="0085374F" w:rsidRDefault="005C5A81" w:rsidP="005C5A81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85374F">
              <w:rPr>
                <w:rFonts w:eastAsia="Times New Roman"/>
                <w:lang w:eastAsia="pl-PL"/>
              </w:rPr>
              <w:t>Outlook</w:t>
            </w:r>
          </w:p>
        </w:tc>
        <w:tc>
          <w:tcPr>
            <w:tcW w:w="828" w:type="pct"/>
          </w:tcPr>
          <w:p w14:paraId="2A5CCEA2" w14:textId="77777777" w:rsidR="005C5A81" w:rsidRDefault="005C5A81" w:rsidP="00400225">
            <w:pPr>
              <w:spacing w:before="100" w:beforeAutospacing="1" w:after="100" w:afterAutospacing="1"/>
              <w:ind w:left="720"/>
              <w:rPr>
                <w:rFonts w:eastAsia="Times New Roman"/>
                <w:lang w:eastAsia="pl-PL"/>
              </w:rPr>
            </w:pPr>
          </w:p>
        </w:tc>
      </w:tr>
    </w:tbl>
    <w:p w14:paraId="6FCE3EB5" w14:textId="77777777" w:rsidR="005C5A81" w:rsidRDefault="005C5A81" w:rsidP="005C5A81">
      <w:pPr>
        <w:rPr>
          <w:rFonts w:ascii="Arial" w:hAnsi="Arial" w:cs="Arial"/>
          <w:sz w:val="20"/>
        </w:rPr>
      </w:pPr>
    </w:p>
    <w:p w14:paraId="56489F49" w14:textId="77777777" w:rsidR="005C5A81" w:rsidRDefault="005C5A81" w:rsidP="005C5A81">
      <w:pPr>
        <w:rPr>
          <w:rFonts w:ascii="Arial" w:hAnsi="Arial" w:cs="Arial"/>
          <w:sz w:val="20"/>
        </w:rPr>
      </w:pPr>
    </w:p>
    <w:p w14:paraId="3B13A556" w14:textId="77777777" w:rsidR="005C5A81" w:rsidRPr="007D39BA" w:rsidRDefault="005C5A81" w:rsidP="005C5A81">
      <w:pPr>
        <w:rPr>
          <w:rFonts w:ascii="Arial" w:hAnsi="Arial" w:cs="Arial"/>
          <w:b/>
          <w:sz w:val="20"/>
        </w:rPr>
      </w:pPr>
      <w:r w:rsidRPr="007D39BA">
        <w:rPr>
          <w:rFonts w:ascii="Arial" w:hAnsi="Arial" w:cs="Arial"/>
          <w:b/>
          <w:sz w:val="20"/>
        </w:rPr>
        <w:t xml:space="preserve">Dysk SSD </w:t>
      </w:r>
      <w:r>
        <w:rPr>
          <w:rFonts w:ascii="Arial" w:hAnsi="Arial" w:cs="Arial"/>
          <w:b/>
          <w:sz w:val="20"/>
        </w:rPr>
        <w:t>- 20 szt.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424"/>
        <w:gridCol w:w="6798"/>
        <w:gridCol w:w="1560"/>
      </w:tblGrid>
      <w:tr w:rsidR="005C5A81" w14:paraId="7BBAD0C1" w14:textId="77777777" w:rsidTr="00400225">
        <w:tc>
          <w:tcPr>
            <w:tcW w:w="1424" w:type="dxa"/>
            <w:vAlign w:val="center"/>
          </w:tcPr>
          <w:p w14:paraId="7BBAAAB5" w14:textId="77777777" w:rsidR="005C5A81" w:rsidRDefault="005C5A81" w:rsidP="00400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Parametr</w:t>
            </w:r>
          </w:p>
        </w:tc>
        <w:tc>
          <w:tcPr>
            <w:tcW w:w="6798" w:type="dxa"/>
            <w:vAlign w:val="center"/>
          </w:tcPr>
          <w:p w14:paraId="4333D31F" w14:textId="77777777" w:rsidR="005C5A81" w:rsidRDefault="005C5A81" w:rsidP="00400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Parametry minimalne</w:t>
            </w:r>
          </w:p>
        </w:tc>
        <w:tc>
          <w:tcPr>
            <w:tcW w:w="1560" w:type="dxa"/>
          </w:tcPr>
          <w:p w14:paraId="36371F5C" w14:textId="77777777" w:rsidR="005C5A81" w:rsidRDefault="005C5A81" w:rsidP="004002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Parametr oferowany TAK/NIE</w:t>
            </w:r>
          </w:p>
        </w:tc>
      </w:tr>
      <w:tr w:rsidR="005C5A81" w14:paraId="0864378A" w14:textId="77777777" w:rsidTr="00400225">
        <w:tc>
          <w:tcPr>
            <w:tcW w:w="1424" w:type="dxa"/>
            <w:vAlign w:val="center"/>
          </w:tcPr>
          <w:p w14:paraId="48E76F21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Typ dysku</w:t>
            </w:r>
          </w:p>
        </w:tc>
        <w:tc>
          <w:tcPr>
            <w:tcW w:w="6798" w:type="dxa"/>
            <w:vAlign w:val="center"/>
          </w:tcPr>
          <w:p w14:paraId="719F17EE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SSD </w:t>
            </w:r>
          </w:p>
        </w:tc>
        <w:tc>
          <w:tcPr>
            <w:tcW w:w="1560" w:type="dxa"/>
          </w:tcPr>
          <w:p w14:paraId="7F660895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56A63BAE" w14:textId="77777777" w:rsidTr="00400225">
        <w:tc>
          <w:tcPr>
            <w:tcW w:w="1424" w:type="dxa"/>
            <w:vAlign w:val="center"/>
          </w:tcPr>
          <w:p w14:paraId="07B362E8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Format szerokości</w:t>
            </w:r>
          </w:p>
        </w:tc>
        <w:tc>
          <w:tcPr>
            <w:tcW w:w="6798" w:type="dxa"/>
            <w:vAlign w:val="center"/>
          </w:tcPr>
          <w:p w14:paraId="07E6137C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2,5'' (SFF) </w:t>
            </w:r>
          </w:p>
        </w:tc>
        <w:tc>
          <w:tcPr>
            <w:tcW w:w="1560" w:type="dxa"/>
          </w:tcPr>
          <w:p w14:paraId="20862E2D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405FA7BE" w14:textId="77777777" w:rsidTr="00400225">
        <w:tc>
          <w:tcPr>
            <w:tcW w:w="1424" w:type="dxa"/>
            <w:vAlign w:val="center"/>
          </w:tcPr>
          <w:p w14:paraId="424C590E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Typ napędu</w:t>
            </w:r>
          </w:p>
        </w:tc>
        <w:tc>
          <w:tcPr>
            <w:tcW w:w="6798" w:type="dxa"/>
            <w:vAlign w:val="center"/>
          </w:tcPr>
          <w:p w14:paraId="06013592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Wewnętrzny </w:t>
            </w:r>
          </w:p>
        </w:tc>
        <w:tc>
          <w:tcPr>
            <w:tcW w:w="1560" w:type="dxa"/>
          </w:tcPr>
          <w:p w14:paraId="7770E074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3BA8B88C" w14:textId="77777777" w:rsidTr="00400225">
        <w:tc>
          <w:tcPr>
            <w:tcW w:w="1424" w:type="dxa"/>
            <w:vAlign w:val="center"/>
          </w:tcPr>
          <w:p w14:paraId="30B3098D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Pojemność dysku</w:t>
            </w:r>
          </w:p>
        </w:tc>
        <w:tc>
          <w:tcPr>
            <w:tcW w:w="6798" w:type="dxa"/>
            <w:vAlign w:val="center"/>
          </w:tcPr>
          <w:p w14:paraId="5F8244C8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240 GB </w:t>
            </w:r>
          </w:p>
        </w:tc>
        <w:tc>
          <w:tcPr>
            <w:tcW w:w="1560" w:type="dxa"/>
          </w:tcPr>
          <w:p w14:paraId="23958F57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2603938A" w14:textId="77777777" w:rsidTr="00400225">
        <w:tc>
          <w:tcPr>
            <w:tcW w:w="1424" w:type="dxa"/>
            <w:vAlign w:val="center"/>
          </w:tcPr>
          <w:p w14:paraId="52BCB8B0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Interfejs dysku</w:t>
            </w:r>
          </w:p>
        </w:tc>
        <w:tc>
          <w:tcPr>
            <w:tcW w:w="6798" w:type="dxa"/>
            <w:vAlign w:val="center"/>
          </w:tcPr>
          <w:p w14:paraId="2D060C02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SATA III - 6 </w:t>
            </w:r>
            <w:proofErr w:type="spellStart"/>
            <w:r>
              <w:rPr>
                <w:lang w:eastAsia="pl-PL"/>
              </w:rPr>
              <w:t>Gb</w:t>
            </w:r>
            <w:proofErr w:type="spellEnd"/>
            <w:r>
              <w:rPr>
                <w:lang w:eastAsia="pl-PL"/>
              </w:rPr>
              <w:t xml:space="preserve">/s </w:t>
            </w:r>
          </w:p>
        </w:tc>
        <w:tc>
          <w:tcPr>
            <w:tcW w:w="1560" w:type="dxa"/>
          </w:tcPr>
          <w:p w14:paraId="5C077AEC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4B076887" w14:textId="77777777" w:rsidTr="00400225">
        <w:tc>
          <w:tcPr>
            <w:tcW w:w="1424" w:type="dxa"/>
            <w:vAlign w:val="center"/>
          </w:tcPr>
          <w:p w14:paraId="723FECDF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Prędkość odczytu</w:t>
            </w:r>
          </w:p>
        </w:tc>
        <w:tc>
          <w:tcPr>
            <w:tcW w:w="6798" w:type="dxa"/>
            <w:vAlign w:val="center"/>
          </w:tcPr>
          <w:p w14:paraId="196F1BC1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520 MB/s </w:t>
            </w:r>
          </w:p>
        </w:tc>
        <w:tc>
          <w:tcPr>
            <w:tcW w:w="1560" w:type="dxa"/>
          </w:tcPr>
          <w:p w14:paraId="56886E97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2C833ACD" w14:textId="77777777" w:rsidTr="00400225">
        <w:tc>
          <w:tcPr>
            <w:tcW w:w="1424" w:type="dxa"/>
            <w:vAlign w:val="center"/>
          </w:tcPr>
          <w:p w14:paraId="7641DC6E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Prędkość zapisu</w:t>
            </w:r>
          </w:p>
        </w:tc>
        <w:tc>
          <w:tcPr>
            <w:tcW w:w="6798" w:type="dxa"/>
            <w:vAlign w:val="center"/>
          </w:tcPr>
          <w:p w14:paraId="57B25C8C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450 MB/s </w:t>
            </w:r>
          </w:p>
        </w:tc>
        <w:tc>
          <w:tcPr>
            <w:tcW w:w="1560" w:type="dxa"/>
          </w:tcPr>
          <w:p w14:paraId="709558F9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47BB9CD0" w14:textId="77777777" w:rsidTr="00400225">
        <w:tc>
          <w:tcPr>
            <w:tcW w:w="1424" w:type="dxa"/>
            <w:vAlign w:val="center"/>
          </w:tcPr>
          <w:p w14:paraId="41738524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Ilość operacji odczytu IOPS (maks.)</w:t>
            </w:r>
          </w:p>
        </w:tc>
        <w:tc>
          <w:tcPr>
            <w:tcW w:w="6798" w:type="dxa"/>
            <w:vAlign w:val="center"/>
          </w:tcPr>
          <w:p w14:paraId="07C7988A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30 K </w:t>
            </w:r>
          </w:p>
        </w:tc>
        <w:tc>
          <w:tcPr>
            <w:tcW w:w="1560" w:type="dxa"/>
          </w:tcPr>
          <w:p w14:paraId="0F338D2C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66A857F5" w14:textId="77777777" w:rsidTr="00400225">
        <w:tc>
          <w:tcPr>
            <w:tcW w:w="1424" w:type="dxa"/>
            <w:vAlign w:val="center"/>
          </w:tcPr>
          <w:p w14:paraId="037BAA83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Ilość operacji zapisu IOPS (maks.)</w:t>
            </w:r>
          </w:p>
        </w:tc>
        <w:tc>
          <w:tcPr>
            <w:tcW w:w="6798" w:type="dxa"/>
            <w:vAlign w:val="center"/>
          </w:tcPr>
          <w:p w14:paraId="3A4919FD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65 K </w:t>
            </w:r>
          </w:p>
        </w:tc>
        <w:tc>
          <w:tcPr>
            <w:tcW w:w="1560" w:type="dxa"/>
          </w:tcPr>
          <w:p w14:paraId="2176D3CE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07B25EEF" w14:textId="77777777" w:rsidTr="00400225">
        <w:tc>
          <w:tcPr>
            <w:tcW w:w="1424" w:type="dxa"/>
            <w:vAlign w:val="center"/>
          </w:tcPr>
          <w:p w14:paraId="63432ED7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Kolor</w:t>
            </w:r>
          </w:p>
        </w:tc>
        <w:tc>
          <w:tcPr>
            <w:tcW w:w="6798" w:type="dxa"/>
            <w:vAlign w:val="center"/>
          </w:tcPr>
          <w:p w14:paraId="2368C9F8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Nie dotyczy </w:t>
            </w:r>
          </w:p>
        </w:tc>
        <w:tc>
          <w:tcPr>
            <w:tcW w:w="1560" w:type="dxa"/>
          </w:tcPr>
          <w:p w14:paraId="0618FD19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776D730C" w14:textId="77777777" w:rsidTr="00400225">
        <w:tc>
          <w:tcPr>
            <w:tcW w:w="1424" w:type="dxa"/>
            <w:vAlign w:val="center"/>
          </w:tcPr>
          <w:p w14:paraId="60F0A8CD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Wysokość</w:t>
            </w:r>
          </w:p>
        </w:tc>
        <w:tc>
          <w:tcPr>
            <w:tcW w:w="6798" w:type="dxa"/>
            <w:vAlign w:val="center"/>
          </w:tcPr>
          <w:p w14:paraId="0B88A03C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7 mm </w:t>
            </w:r>
          </w:p>
        </w:tc>
        <w:tc>
          <w:tcPr>
            <w:tcW w:w="1560" w:type="dxa"/>
          </w:tcPr>
          <w:p w14:paraId="1377D685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1EC8D04E" w14:textId="77777777" w:rsidTr="00400225">
        <w:tc>
          <w:tcPr>
            <w:tcW w:w="1424" w:type="dxa"/>
            <w:vAlign w:val="center"/>
          </w:tcPr>
          <w:p w14:paraId="3CE37F2F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Szerokość</w:t>
            </w:r>
          </w:p>
        </w:tc>
        <w:tc>
          <w:tcPr>
            <w:tcW w:w="6798" w:type="dxa"/>
            <w:vAlign w:val="center"/>
          </w:tcPr>
          <w:p w14:paraId="7E92F03B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69.85 mm </w:t>
            </w:r>
          </w:p>
        </w:tc>
        <w:tc>
          <w:tcPr>
            <w:tcW w:w="1560" w:type="dxa"/>
          </w:tcPr>
          <w:p w14:paraId="6617168B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32D36C07" w14:textId="77777777" w:rsidTr="00400225">
        <w:tc>
          <w:tcPr>
            <w:tcW w:w="1424" w:type="dxa"/>
            <w:vAlign w:val="center"/>
          </w:tcPr>
          <w:p w14:paraId="18EBF2D7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Głębokość</w:t>
            </w:r>
          </w:p>
        </w:tc>
        <w:tc>
          <w:tcPr>
            <w:tcW w:w="6798" w:type="dxa"/>
            <w:vAlign w:val="center"/>
          </w:tcPr>
          <w:p w14:paraId="2ECFE5EB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100.45 mm </w:t>
            </w:r>
          </w:p>
        </w:tc>
        <w:tc>
          <w:tcPr>
            <w:tcW w:w="1560" w:type="dxa"/>
          </w:tcPr>
          <w:p w14:paraId="78B42A9B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  <w:tr w:rsidR="005C5A81" w14:paraId="210EA56A" w14:textId="77777777" w:rsidTr="00400225">
        <w:tc>
          <w:tcPr>
            <w:tcW w:w="1424" w:type="dxa"/>
            <w:vAlign w:val="center"/>
          </w:tcPr>
          <w:p w14:paraId="73E41BC9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>Waga</w:t>
            </w:r>
          </w:p>
        </w:tc>
        <w:tc>
          <w:tcPr>
            <w:tcW w:w="6798" w:type="dxa"/>
            <w:vAlign w:val="center"/>
          </w:tcPr>
          <w:p w14:paraId="110AE6A8" w14:textId="77777777" w:rsidR="005C5A81" w:rsidRDefault="005C5A81" w:rsidP="00400225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47.5 g </w:t>
            </w:r>
          </w:p>
        </w:tc>
        <w:tc>
          <w:tcPr>
            <w:tcW w:w="1560" w:type="dxa"/>
          </w:tcPr>
          <w:p w14:paraId="6A3F7F97" w14:textId="77777777" w:rsidR="005C5A81" w:rsidRDefault="005C5A81" w:rsidP="00400225">
            <w:pPr>
              <w:jc w:val="center"/>
              <w:rPr>
                <w:lang w:eastAsia="pl-PL"/>
              </w:rPr>
            </w:pPr>
          </w:p>
        </w:tc>
      </w:tr>
    </w:tbl>
    <w:p w14:paraId="49EC9A04" w14:textId="77777777" w:rsidR="005C5A81" w:rsidRDefault="005C5A81" w:rsidP="005C5A81">
      <w:pPr>
        <w:rPr>
          <w:rFonts w:ascii="Arial" w:hAnsi="Arial" w:cs="Arial"/>
          <w:sz w:val="20"/>
        </w:rPr>
      </w:pPr>
    </w:p>
    <w:p w14:paraId="14DD625F" w14:textId="77777777" w:rsidR="005C5A81" w:rsidRDefault="005C5A81" w:rsidP="005C5A81">
      <w:pPr>
        <w:rPr>
          <w:rFonts w:ascii="Arial" w:hAnsi="Arial" w:cs="Arial"/>
          <w:sz w:val="20"/>
        </w:rPr>
      </w:pPr>
    </w:p>
    <w:p w14:paraId="36739FA2" w14:textId="46A69099" w:rsidR="005C5A81" w:rsidRPr="005C5A81" w:rsidRDefault="005C5A81" w:rsidP="005C5A81">
      <w:pPr>
        <w:jc w:val="both"/>
        <w:rPr>
          <w:rFonts w:ascii="Arial" w:hAnsi="Arial" w:cs="Arial"/>
          <w:iCs/>
          <w:sz w:val="20"/>
          <w:szCs w:val="20"/>
        </w:rPr>
      </w:pPr>
    </w:p>
    <w:sectPr w:rsidR="005C5A81" w:rsidRPr="005C5A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49AFA" w14:textId="77777777" w:rsidR="00682F94" w:rsidRDefault="00682F94" w:rsidP="00682F94">
      <w:r>
        <w:separator/>
      </w:r>
    </w:p>
  </w:endnote>
  <w:endnote w:type="continuationSeparator" w:id="0">
    <w:p w14:paraId="4445000E" w14:textId="77777777" w:rsidR="00682F94" w:rsidRDefault="00682F94" w:rsidP="0068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773853"/>
      <w:docPartObj>
        <w:docPartGallery w:val="Page Numbers (Bottom of Page)"/>
        <w:docPartUnique/>
      </w:docPartObj>
    </w:sdtPr>
    <w:sdtEndPr/>
    <w:sdtContent>
      <w:p w14:paraId="332A3A99" w14:textId="77777777" w:rsidR="00682F94" w:rsidRDefault="00682F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676">
          <w:rPr>
            <w:noProof/>
          </w:rPr>
          <w:t>12</w:t>
        </w:r>
        <w:r>
          <w:fldChar w:fldCharType="end"/>
        </w:r>
      </w:p>
    </w:sdtContent>
  </w:sdt>
  <w:p w14:paraId="7616CD94" w14:textId="77777777" w:rsidR="00682F94" w:rsidRDefault="00682F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B1B6C" w14:textId="77777777" w:rsidR="00682F94" w:rsidRDefault="00682F94" w:rsidP="00682F94">
      <w:r>
        <w:separator/>
      </w:r>
    </w:p>
  </w:footnote>
  <w:footnote w:type="continuationSeparator" w:id="0">
    <w:p w14:paraId="6EB71A5A" w14:textId="77777777" w:rsidR="00682F94" w:rsidRDefault="00682F94" w:rsidP="0068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302C"/>
    <w:multiLevelType w:val="hybridMultilevel"/>
    <w:tmpl w:val="66E8357A"/>
    <w:lvl w:ilvl="0" w:tplc="1CCAB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B29"/>
    <w:multiLevelType w:val="multilevel"/>
    <w:tmpl w:val="C63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F457A"/>
    <w:multiLevelType w:val="hybridMultilevel"/>
    <w:tmpl w:val="1D50003A"/>
    <w:lvl w:ilvl="0" w:tplc="C542FA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1199A"/>
    <w:multiLevelType w:val="multilevel"/>
    <w:tmpl w:val="CC3E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E22F8"/>
    <w:multiLevelType w:val="hybridMultilevel"/>
    <w:tmpl w:val="53E264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9366D"/>
    <w:multiLevelType w:val="hybridMultilevel"/>
    <w:tmpl w:val="7F9AD02C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56782"/>
    <w:multiLevelType w:val="hybridMultilevel"/>
    <w:tmpl w:val="7D269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B493E"/>
    <w:multiLevelType w:val="hybridMultilevel"/>
    <w:tmpl w:val="6E483926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E7E4B1E4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24997"/>
    <w:multiLevelType w:val="hybridMultilevel"/>
    <w:tmpl w:val="E620DC6A"/>
    <w:lvl w:ilvl="0" w:tplc="C542FA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611D2"/>
    <w:multiLevelType w:val="hybridMultilevel"/>
    <w:tmpl w:val="9252D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F74C4"/>
    <w:multiLevelType w:val="hybridMultilevel"/>
    <w:tmpl w:val="C2969C74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67988"/>
    <w:multiLevelType w:val="hybridMultilevel"/>
    <w:tmpl w:val="2FEAA718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916AC"/>
    <w:multiLevelType w:val="hybridMultilevel"/>
    <w:tmpl w:val="D2D49286"/>
    <w:lvl w:ilvl="0" w:tplc="7556E4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833F0"/>
    <w:multiLevelType w:val="hybridMultilevel"/>
    <w:tmpl w:val="8200A452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D78E3"/>
    <w:multiLevelType w:val="multilevel"/>
    <w:tmpl w:val="C8E8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92AFD"/>
    <w:multiLevelType w:val="hybridMultilevel"/>
    <w:tmpl w:val="9C004750"/>
    <w:lvl w:ilvl="0" w:tplc="C542FA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5005C"/>
    <w:multiLevelType w:val="hybridMultilevel"/>
    <w:tmpl w:val="0E147D44"/>
    <w:lvl w:ilvl="0" w:tplc="C542FA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B754F"/>
    <w:multiLevelType w:val="multilevel"/>
    <w:tmpl w:val="5E44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F4552"/>
    <w:multiLevelType w:val="hybridMultilevel"/>
    <w:tmpl w:val="195E9CCC"/>
    <w:lvl w:ilvl="0" w:tplc="C542FA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51848"/>
    <w:multiLevelType w:val="hybridMultilevel"/>
    <w:tmpl w:val="2BDAA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C606A"/>
    <w:multiLevelType w:val="multilevel"/>
    <w:tmpl w:val="48DA340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8"/>
  </w:num>
  <w:num w:numId="5">
    <w:abstractNumId w:val="11"/>
  </w:num>
  <w:num w:numId="6">
    <w:abstractNumId w:val="12"/>
  </w:num>
  <w:num w:numId="7">
    <w:abstractNumId w:val="6"/>
  </w:num>
  <w:num w:numId="8">
    <w:abstractNumId w:val="16"/>
  </w:num>
  <w:num w:numId="9">
    <w:abstractNumId w:val="9"/>
  </w:num>
  <w:num w:numId="10">
    <w:abstractNumId w:val="2"/>
  </w:num>
  <w:num w:numId="11">
    <w:abstractNumId w:val="17"/>
  </w:num>
  <w:num w:numId="12">
    <w:abstractNumId w:val="20"/>
  </w:num>
  <w:num w:numId="13">
    <w:abstractNumId w:val="19"/>
  </w:num>
  <w:num w:numId="14">
    <w:abstractNumId w:val="13"/>
  </w:num>
  <w:num w:numId="15">
    <w:abstractNumId w:val="14"/>
  </w:num>
  <w:num w:numId="16">
    <w:abstractNumId w:val="7"/>
  </w:num>
  <w:num w:numId="17">
    <w:abstractNumId w:val="10"/>
  </w:num>
  <w:num w:numId="18">
    <w:abstractNumId w:val="4"/>
  </w:num>
  <w:num w:numId="19">
    <w:abstractNumId w:val="1"/>
  </w:num>
  <w:num w:numId="20">
    <w:abstractNumId w:val="18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41"/>
    <w:rsid w:val="00087894"/>
    <w:rsid w:val="00151DA3"/>
    <w:rsid w:val="00271680"/>
    <w:rsid w:val="002A7F64"/>
    <w:rsid w:val="002F3BBE"/>
    <w:rsid w:val="00343D92"/>
    <w:rsid w:val="003469DC"/>
    <w:rsid w:val="00471400"/>
    <w:rsid w:val="004D5341"/>
    <w:rsid w:val="005C5A81"/>
    <w:rsid w:val="006421C2"/>
    <w:rsid w:val="00682F94"/>
    <w:rsid w:val="008B5262"/>
    <w:rsid w:val="009833BA"/>
    <w:rsid w:val="00A12CFE"/>
    <w:rsid w:val="00B85DBD"/>
    <w:rsid w:val="00B86E2E"/>
    <w:rsid w:val="00E44676"/>
    <w:rsid w:val="00E560B7"/>
    <w:rsid w:val="00E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5792"/>
  <w15:chartTrackingRefBased/>
  <w15:docId w15:val="{281C30C4-0266-43E2-BFBB-7A8B1A99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D534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C5A81"/>
    <w:pPr>
      <w:keepNext/>
      <w:widowControl/>
      <w:numPr>
        <w:numId w:val="2"/>
      </w:numPr>
      <w:autoSpaceDE/>
      <w:autoSpaceDN/>
      <w:spacing w:before="600" w:after="240" w:line="480" w:lineRule="auto"/>
      <w:jc w:val="both"/>
      <w:outlineLvl w:val="0"/>
    </w:pPr>
    <w:rPr>
      <w:rFonts w:ascii="Calibri" w:eastAsia="MS Mincho" w:hAnsi="Calibri" w:cs="Times New Roman"/>
      <w:b/>
      <w:bCs/>
      <w:sz w:val="32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5A81"/>
    <w:pPr>
      <w:keepNext/>
      <w:widowControl/>
      <w:numPr>
        <w:ilvl w:val="1"/>
        <w:numId w:val="2"/>
      </w:numPr>
      <w:autoSpaceDE/>
      <w:autoSpaceDN/>
      <w:spacing w:before="480" w:after="240" w:line="480" w:lineRule="auto"/>
      <w:jc w:val="both"/>
      <w:outlineLvl w:val="1"/>
    </w:pPr>
    <w:rPr>
      <w:rFonts w:ascii="Calibri" w:eastAsia="MS Mincho" w:hAnsi="Calibri" w:cs="Times New Roman"/>
      <w:b/>
      <w:sz w:val="28"/>
      <w:szCs w:val="20"/>
      <w:lang w:eastAsia="ja-JP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C5A81"/>
    <w:pPr>
      <w:keepNext/>
      <w:widowControl/>
      <w:numPr>
        <w:ilvl w:val="2"/>
        <w:numId w:val="2"/>
      </w:numPr>
      <w:autoSpaceDE/>
      <w:autoSpaceDN/>
      <w:spacing w:before="240" w:after="160" w:line="480" w:lineRule="auto"/>
      <w:jc w:val="both"/>
      <w:outlineLvl w:val="2"/>
    </w:pPr>
    <w:rPr>
      <w:rFonts w:ascii="Calibri" w:eastAsia="Times New Roman" w:hAnsi="Calibri" w:cs="Times New Roman"/>
      <w:b/>
      <w:bCs/>
      <w:sz w:val="24"/>
      <w:szCs w:val="26"/>
      <w:lang w:eastAsia="ja-JP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5C5A81"/>
    <w:pPr>
      <w:keepNext/>
      <w:widowControl/>
      <w:numPr>
        <w:ilvl w:val="3"/>
        <w:numId w:val="2"/>
      </w:numPr>
      <w:autoSpaceDE/>
      <w:autoSpaceDN/>
      <w:spacing w:before="200" w:after="60" w:line="480" w:lineRule="auto"/>
      <w:jc w:val="both"/>
      <w:outlineLvl w:val="3"/>
    </w:pPr>
    <w:rPr>
      <w:rFonts w:ascii="Calibri" w:eastAsia="Times New Roman" w:hAnsi="Calibri" w:cs="Times New Roman"/>
      <w:b/>
      <w:bCs/>
      <w:szCs w:val="28"/>
      <w:lang w:eastAsia="ja-JP"/>
    </w:rPr>
  </w:style>
  <w:style w:type="paragraph" w:styleId="Nagwek5">
    <w:name w:val="heading 5"/>
    <w:basedOn w:val="Normalny"/>
    <w:next w:val="Normalny"/>
    <w:link w:val="Nagwek5Znak"/>
    <w:unhideWhenUsed/>
    <w:qFormat/>
    <w:rsid w:val="005C5A81"/>
    <w:pPr>
      <w:widowControl/>
      <w:numPr>
        <w:ilvl w:val="4"/>
        <w:numId w:val="2"/>
      </w:numPr>
      <w:autoSpaceDE/>
      <w:autoSpaceDN/>
      <w:spacing w:before="240" w:after="60" w:line="480" w:lineRule="auto"/>
      <w:jc w:val="both"/>
      <w:outlineLvl w:val="4"/>
    </w:pPr>
    <w:rPr>
      <w:rFonts w:ascii="Calibri" w:eastAsia="Times New Roman" w:hAnsi="Calibri" w:cs="Times New Roman"/>
      <w:bCs/>
      <w:iCs/>
      <w:szCs w:val="26"/>
      <w:lang w:eastAsia="ja-JP"/>
    </w:rPr>
  </w:style>
  <w:style w:type="paragraph" w:styleId="Nagwek6">
    <w:name w:val="heading 6"/>
    <w:basedOn w:val="Normalny"/>
    <w:next w:val="Normalny"/>
    <w:link w:val="Nagwek6Znak"/>
    <w:unhideWhenUsed/>
    <w:qFormat/>
    <w:rsid w:val="005C5A81"/>
    <w:pPr>
      <w:widowControl/>
      <w:numPr>
        <w:ilvl w:val="5"/>
        <w:numId w:val="2"/>
      </w:numPr>
      <w:autoSpaceDE/>
      <w:autoSpaceDN/>
      <w:spacing w:before="240" w:after="60" w:line="480" w:lineRule="auto"/>
      <w:jc w:val="both"/>
      <w:outlineLvl w:val="5"/>
    </w:pPr>
    <w:rPr>
      <w:rFonts w:ascii="Calibri" w:eastAsia="Times New Roman" w:hAnsi="Calibri" w:cs="Times New Roman"/>
      <w:b/>
      <w:bCs/>
      <w:lang w:eastAsia="ja-JP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C5A81"/>
    <w:pPr>
      <w:widowControl/>
      <w:numPr>
        <w:ilvl w:val="6"/>
        <w:numId w:val="2"/>
      </w:numPr>
      <w:autoSpaceDE/>
      <w:autoSpaceDN/>
      <w:spacing w:before="240" w:after="60" w:line="48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ja-JP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5C5A81"/>
    <w:pPr>
      <w:widowControl/>
      <w:numPr>
        <w:ilvl w:val="7"/>
        <w:numId w:val="2"/>
      </w:numPr>
      <w:autoSpaceDE/>
      <w:autoSpaceDN/>
      <w:spacing w:before="240" w:after="60" w:line="48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5C5A81"/>
    <w:pPr>
      <w:widowControl/>
      <w:numPr>
        <w:ilvl w:val="8"/>
        <w:numId w:val="2"/>
      </w:numPr>
      <w:autoSpaceDE/>
      <w:autoSpaceDN/>
      <w:spacing w:before="240" w:after="60" w:line="480" w:lineRule="auto"/>
      <w:jc w:val="both"/>
      <w:outlineLvl w:val="8"/>
    </w:pPr>
    <w:rPr>
      <w:rFonts w:ascii="Cambria" w:eastAsia="Times New Roman" w:hAnsi="Cambr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4D534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2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F94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682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2F94"/>
    <w:rPr>
      <w:rFonts w:ascii="Trebuchet MS" w:eastAsia="Trebuchet MS" w:hAnsi="Trebuchet MS" w:cs="Trebuchet MS"/>
    </w:rPr>
  </w:style>
  <w:style w:type="character" w:customStyle="1" w:styleId="Nagwek1Znak">
    <w:name w:val="Nagłówek 1 Znak"/>
    <w:basedOn w:val="Domylnaczcionkaakapitu"/>
    <w:link w:val="Nagwek1"/>
    <w:uiPriority w:val="99"/>
    <w:rsid w:val="005C5A81"/>
    <w:rPr>
      <w:rFonts w:ascii="Calibri" w:eastAsia="MS Mincho" w:hAnsi="Calibri" w:cs="Times New Roman"/>
      <w:b/>
      <w:bCs/>
      <w:sz w:val="32"/>
      <w:szCs w:val="20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9"/>
    <w:rsid w:val="005C5A81"/>
    <w:rPr>
      <w:rFonts w:ascii="Calibri" w:eastAsia="MS Mincho" w:hAnsi="Calibri" w:cs="Times New Roman"/>
      <w:b/>
      <w:sz w:val="28"/>
      <w:szCs w:val="20"/>
      <w:lang w:eastAsia="ja-JP"/>
    </w:rPr>
  </w:style>
  <w:style w:type="character" w:customStyle="1" w:styleId="Nagwek3Znak">
    <w:name w:val="Nagłówek 3 Znak"/>
    <w:basedOn w:val="Domylnaczcionkaakapitu"/>
    <w:link w:val="Nagwek3"/>
    <w:uiPriority w:val="99"/>
    <w:rsid w:val="005C5A81"/>
    <w:rPr>
      <w:rFonts w:ascii="Calibri" w:eastAsia="Times New Roman" w:hAnsi="Calibri" w:cs="Times New Roman"/>
      <w:b/>
      <w:bCs/>
      <w:sz w:val="24"/>
      <w:szCs w:val="26"/>
      <w:lang w:eastAsia="ja-JP"/>
    </w:rPr>
  </w:style>
  <w:style w:type="character" w:customStyle="1" w:styleId="Nagwek4Znak">
    <w:name w:val="Nagłówek 4 Znak"/>
    <w:basedOn w:val="Domylnaczcionkaakapitu"/>
    <w:link w:val="Nagwek4"/>
    <w:uiPriority w:val="99"/>
    <w:rsid w:val="005C5A81"/>
    <w:rPr>
      <w:rFonts w:ascii="Calibri" w:eastAsia="Times New Roman" w:hAnsi="Calibri" w:cs="Times New Roman"/>
      <w:b/>
      <w:bCs/>
      <w:szCs w:val="28"/>
      <w:lang w:eastAsia="ja-JP"/>
    </w:rPr>
  </w:style>
  <w:style w:type="character" w:customStyle="1" w:styleId="Nagwek5Znak">
    <w:name w:val="Nagłówek 5 Znak"/>
    <w:basedOn w:val="Domylnaczcionkaakapitu"/>
    <w:link w:val="Nagwek5"/>
    <w:rsid w:val="005C5A81"/>
    <w:rPr>
      <w:rFonts w:ascii="Calibri" w:eastAsia="Times New Roman" w:hAnsi="Calibri" w:cs="Times New Roman"/>
      <w:bCs/>
      <w:iCs/>
      <w:szCs w:val="26"/>
      <w:lang w:eastAsia="ja-JP"/>
    </w:rPr>
  </w:style>
  <w:style w:type="character" w:customStyle="1" w:styleId="Nagwek6Znak">
    <w:name w:val="Nagłówek 6 Znak"/>
    <w:basedOn w:val="Domylnaczcionkaakapitu"/>
    <w:link w:val="Nagwek6"/>
    <w:rsid w:val="005C5A81"/>
    <w:rPr>
      <w:rFonts w:ascii="Calibri" w:eastAsia="Times New Roman" w:hAnsi="Calibri" w:cs="Times New Roman"/>
      <w:b/>
      <w:bCs/>
      <w:lang w:eastAsia="ja-JP"/>
    </w:rPr>
  </w:style>
  <w:style w:type="character" w:customStyle="1" w:styleId="Nagwek7Znak">
    <w:name w:val="Nagłówek 7 Znak"/>
    <w:basedOn w:val="Domylnaczcionkaakapitu"/>
    <w:link w:val="Nagwek7"/>
    <w:uiPriority w:val="99"/>
    <w:rsid w:val="005C5A81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Nagwek8Znak">
    <w:name w:val="Nagłówek 8 Znak"/>
    <w:basedOn w:val="Domylnaczcionkaakapitu"/>
    <w:link w:val="Nagwek8"/>
    <w:uiPriority w:val="99"/>
    <w:rsid w:val="005C5A81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Nagwek9Znak">
    <w:name w:val="Nagłówek 9 Znak"/>
    <w:basedOn w:val="Domylnaczcionkaakapitu"/>
    <w:link w:val="Nagwek9"/>
    <w:uiPriority w:val="99"/>
    <w:rsid w:val="005C5A81"/>
    <w:rPr>
      <w:rFonts w:ascii="Cambria" w:eastAsia="Times New Roman" w:hAnsi="Cambria" w:cs="Times New Roman"/>
      <w:lang w:eastAsia="ja-JP"/>
    </w:rPr>
  </w:style>
  <w:style w:type="character" w:styleId="Hipercze">
    <w:name w:val="Hyperlink"/>
    <w:uiPriority w:val="99"/>
    <w:unhideWhenUsed/>
    <w:rsid w:val="005C5A81"/>
    <w:rPr>
      <w:color w:val="0000FF"/>
      <w:u w:val="single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99"/>
    <w:qFormat/>
    <w:rsid w:val="005C5A81"/>
    <w:pPr>
      <w:widowControl/>
      <w:autoSpaceDE/>
      <w:autoSpaceDN/>
      <w:spacing w:after="160" w:line="480" w:lineRule="auto"/>
      <w:ind w:left="720"/>
      <w:contextualSpacing/>
      <w:jc w:val="both"/>
    </w:pPr>
    <w:rPr>
      <w:rFonts w:ascii="Calibri" w:eastAsia="MS Mincho" w:hAnsi="Calibri" w:cs="Times New Roman"/>
      <w:szCs w:val="20"/>
      <w:lang w:eastAsia="ja-JP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99"/>
    <w:qFormat/>
    <w:locked/>
    <w:rsid w:val="005C5A81"/>
    <w:rPr>
      <w:rFonts w:ascii="Calibri" w:eastAsia="MS Mincho" w:hAnsi="Calibri" w:cs="Times New Roman"/>
      <w:szCs w:val="20"/>
      <w:lang w:eastAsia="ja-JP"/>
    </w:rPr>
  </w:style>
  <w:style w:type="table" w:styleId="Tabela-Siatka">
    <w:name w:val="Table Grid"/>
    <w:basedOn w:val="Standardowy"/>
    <w:uiPriority w:val="39"/>
    <w:rsid w:val="005C5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eat.net/?category=pcsdispl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cocertified.com/product-fin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3232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6</cp:revision>
  <dcterms:created xsi:type="dcterms:W3CDTF">2021-06-17T11:00:00Z</dcterms:created>
  <dcterms:modified xsi:type="dcterms:W3CDTF">2021-06-17T11:12:00Z</dcterms:modified>
</cp:coreProperties>
</file>