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85" w:rsidRPr="00B848B8" w:rsidRDefault="00CD5D2F" w:rsidP="00CD5D2F">
      <w:pPr>
        <w:jc w:val="both"/>
        <w:rPr>
          <w:rFonts w:ascii="Arial" w:hAnsi="Arial" w:cs="Arial"/>
        </w:rPr>
      </w:pPr>
      <w:r w:rsidRPr="00B848B8">
        <w:rPr>
          <w:rFonts w:ascii="Arial" w:hAnsi="Arial" w:cs="Arial"/>
          <w:b/>
        </w:rPr>
        <w:t>Przedmiot zamówienia</w:t>
      </w:r>
      <w:r w:rsidR="00272440">
        <w:rPr>
          <w:rFonts w:ascii="Arial" w:hAnsi="Arial" w:cs="Arial"/>
          <w:b/>
        </w:rPr>
        <w:t>: Modernizacja i zakupy inwestycyjne w Miejskim Szpitalu Zespolonym w Częstochowie – IV postępowanie.</w:t>
      </w:r>
    </w:p>
    <w:tbl>
      <w:tblPr>
        <w:tblW w:w="10774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6"/>
        <w:gridCol w:w="4455"/>
        <w:gridCol w:w="973"/>
        <w:gridCol w:w="292"/>
        <w:gridCol w:w="1692"/>
        <w:gridCol w:w="2694"/>
        <w:gridCol w:w="47"/>
      </w:tblGrid>
      <w:tr w:rsidR="00CD5D2F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CD5D2F" w:rsidRPr="00B848B8" w:rsidRDefault="00CD5D2F" w:rsidP="00CD5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848B8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CD5D2F" w:rsidRPr="00B848B8" w:rsidRDefault="00CD5D2F" w:rsidP="00CD5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848B8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CD5D2F" w:rsidRPr="00B848B8" w:rsidRDefault="00CD5D2F" w:rsidP="00CD5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848B8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CD5D2F" w:rsidRPr="00B848B8" w:rsidRDefault="00576CCA" w:rsidP="00CD5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848B8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7F7F9E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:rsidR="007F7F9E" w:rsidRPr="00B848B8" w:rsidRDefault="007F7F9E" w:rsidP="00CD5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</w:tcPr>
          <w:p w:rsidR="007F7F9E" w:rsidRPr="00B848B8" w:rsidRDefault="00952385" w:rsidP="007F7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848B8">
              <w:rPr>
                <w:rFonts w:ascii="Arial" w:eastAsia="Times New Roman" w:hAnsi="Arial" w:cs="Arial"/>
                <w:b/>
                <w:lang w:eastAsia="pl-PL"/>
              </w:rPr>
              <w:t xml:space="preserve">Pakiet nr </w:t>
            </w:r>
            <w:r w:rsidR="00272440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</w:tcPr>
          <w:p w:rsidR="007F7F9E" w:rsidRPr="00B848B8" w:rsidRDefault="007F7F9E" w:rsidP="00CD5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7F7F9E" w:rsidRPr="00B848B8" w:rsidRDefault="007F7F9E" w:rsidP="00CD5D2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D5D2F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:rsidR="00CD5D2F" w:rsidRPr="00B848B8" w:rsidRDefault="00CD5D2F" w:rsidP="00CD5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848B8">
              <w:rPr>
                <w:rFonts w:ascii="Arial" w:eastAsia="Times New Roman" w:hAnsi="Arial" w:cs="Arial"/>
                <w:b/>
                <w:lang w:eastAsia="pl-PL"/>
              </w:rPr>
              <w:t> I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:rsidR="00CD5D2F" w:rsidRPr="00C07121" w:rsidRDefault="00B80543" w:rsidP="00CD5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07121">
              <w:rPr>
                <w:rFonts w:ascii="Arial" w:hAnsi="Arial" w:cs="Arial"/>
                <w:b/>
                <w:bCs/>
              </w:rPr>
              <w:t>Aparat do krioterapii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CE6F1"/>
            <w:noWrap/>
            <w:vAlign w:val="center"/>
            <w:hideMark/>
          </w:tcPr>
          <w:p w:rsidR="00CD5D2F" w:rsidRPr="00B848B8" w:rsidRDefault="00CD5D2F" w:rsidP="00CD5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848B8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CD5D2F" w:rsidRPr="00B848B8" w:rsidRDefault="00CD5D2F" w:rsidP="00CD5D2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B848B8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891DE1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E1" w:rsidRPr="00C07121" w:rsidRDefault="00891DE1" w:rsidP="00891DE1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1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Podać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E1" w:rsidRPr="00C07121" w:rsidRDefault="00891DE1" w:rsidP="00891DE1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1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Podać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E1" w:rsidRPr="00C07121" w:rsidRDefault="00891DE1" w:rsidP="00891DE1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7121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91DE1" w:rsidRPr="00B848B8" w:rsidTr="00C07121">
        <w:trPr>
          <w:gridAfter w:val="1"/>
          <w:wAfter w:w="47" w:type="dxa"/>
          <w:trHeight w:val="459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E1" w:rsidRPr="00C07121" w:rsidRDefault="00B80543" w:rsidP="009C2E0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C07121">
              <w:rPr>
                <w:rFonts w:ascii="Arial" w:hAnsi="Arial" w:cs="Arial"/>
                <w:sz w:val="22"/>
                <w:szCs w:val="22"/>
              </w:rPr>
              <w:t>Aparat do krioterapii zasilany ciekłym azotem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Podać model i typ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DE1" w:rsidRPr="00B848B8" w:rsidRDefault="00891DE1" w:rsidP="00891D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038B7" w:rsidRPr="00B848B8" w:rsidTr="00A7639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B7" w:rsidRPr="00B848B8" w:rsidRDefault="009038B7" w:rsidP="00903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B7" w:rsidRPr="00C07121" w:rsidRDefault="00B80543" w:rsidP="009038B7">
            <w:pPr>
              <w:rPr>
                <w:rFonts w:ascii="Arial" w:hAnsi="Arial" w:cs="Arial"/>
              </w:rPr>
            </w:pPr>
            <w:r w:rsidRPr="00C07121">
              <w:rPr>
                <w:rFonts w:ascii="Arial" w:hAnsi="Arial" w:cs="Arial"/>
              </w:rPr>
              <w:t>Duży dotykowy ciekłokrystaliczny kolorowy wyświetlacz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8B7" w:rsidRPr="00B848B8" w:rsidRDefault="009038B7" w:rsidP="00903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B7" w:rsidRPr="00B848B8" w:rsidRDefault="009038B7" w:rsidP="00903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B848B8" w:rsidTr="00A7639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B7" w:rsidRPr="00B848B8" w:rsidRDefault="009038B7" w:rsidP="00903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B7" w:rsidRPr="00C07121" w:rsidRDefault="00C07121" w:rsidP="009038B7">
            <w:pPr>
              <w:rPr>
                <w:rFonts w:ascii="Arial" w:hAnsi="Arial" w:cs="Arial"/>
                <w:color w:val="000000"/>
              </w:rPr>
            </w:pPr>
            <w:r w:rsidRPr="00C07121">
              <w:rPr>
                <w:rFonts w:ascii="Arial" w:hAnsi="Arial" w:cs="Arial"/>
              </w:rPr>
              <w:t>Specjalna „tuba” do odkładania grzałki podczas wymiany butli lub uzupełniania azotu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8B7" w:rsidRPr="00B848B8" w:rsidRDefault="009038B7" w:rsidP="009038B7">
            <w:pPr>
              <w:jc w:val="center"/>
              <w:rPr>
                <w:rFonts w:ascii="Arial" w:hAnsi="Arial" w:cs="Aria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B7" w:rsidRPr="00B848B8" w:rsidRDefault="009038B7" w:rsidP="00903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pl-PL"/>
              </w:rPr>
            </w:pPr>
          </w:p>
        </w:tc>
      </w:tr>
      <w:tr w:rsidR="009038B7" w:rsidRPr="00B848B8" w:rsidTr="00A7639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B7" w:rsidRPr="00B848B8" w:rsidRDefault="00273E75" w:rsidP="00903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B7" w:rsidRPr="00C07121" w:rsidRDefault="00C07121" w:rsidP="009038B7">
            <w:pPr>
              <w:rPr>
                <w:rFonts w:ascii="Arial" w:hAnsi="Arial" w:cs="Arial"/>
                <w:color w:val="000000"/>
              </w:rPr>
            </w:pPr>
            <w:r w:rsidRPr="00C07121">
              <w:rPr>
                <w:rFonts w:ascii="Arial" w:hAnsi="Arial" w:cs="Arial"/>
              </w:rPr>
              <w:t>Zbiornik o pojemności 30 litrów (+/- 5%)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8B7" w:rsidRPr="00B848B8" w:rsidRDefault="009038B7" w:rsidP="009038B7">
            <w:pPr>
              <w:jc w:val="center"/>
              <w:rPr>
                <w:rFonts w:ascii="Arial" w:hAnsi="Arial" w:cs="Aria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B7" w:rsidRPr="00B848B8" w:rsidRDefault="009038B7" w:rsidP="00903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B848B8" w:rsidTr="00A7639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B7" w:rsidRPr="00B848B8" w:rsidRDefault="00273E75" w:rsidP="00903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B7" w:rsidRPr="00C07121" w:rsidRDefault="00C07121" w:rsidP="009038B7">
            <w:pPr>
              <w:rPr>
                <w:rFonts w:ascii="Arial" w:hAnsi="Arial" w:cs="Arial"/>
              </w:rPr>
            </w:pPr>
            <w:r w:rsidRPr="00C07121">
              <w:rPr>
                <w:rFonts w:ascii="Arial" w:hAnsi="Arial" w:cs="Arial"/>
              </w:rPr>
              <w:t>Gotowe programy terapeutyczne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8B7" w:rsidRPr="00B848B8" w:rsidRDefault="009038B7" w:rsidP="009038B7">
            <w:pPr>
              <w:jc w:val="center"/>
              <w:rPr>
                <w:rFonts w:ascii="Arial" w:hAnsi="Arial" w:cs="Aria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B7" w:rsidRPr="00B848B8" w:rsidRDefault="009038B7" w:rsidP="00903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E75" w:rsidRPr="00B848B8" w:rsidRDefault="00273E75" w:rsidP="0027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C07121" w:rsidRDefault="00C07121" w:rsidP="00273E75">
            <w:pPr>
              <w:rPr>
                <w:rFonts w:ascii="Arial" w:hAnsi="Arial" w:cs="Arial"/>
              </w:rPr>
            </w:pPr>
            <w:r w:rsidRPr="00C07121">
              <w:rPr>
                <w:rFonts w:ascii="Arial" w:hAnsi="Arial" w:cs="Arial"/>
              </w:rPr>
              <w:t>Czynnik roboczy – ciekły azot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E75" w:rsidRPr="00B848B8" w:rsidRDefault="00952385" w:rsidP="00C07121">
            <w:pPr>
              <w:jc w:val="center"/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B848B8" w:rsidRDefault="00273E75" w:rsidP="00273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E75" w:rsidRPr="00B848B8" w:rsidRDefault="00273E75" w:rsidP="0027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C07121" w:rsidRDefault="00C07121" w:rsidP="00273E75">
            <w:pPr>
              <w:rPr>
                <w:rFonts w:ascii="Arial" w:hAnsi="Arial" w:cs="Arial"/>
              </w:rPr>
            </w:pPr>
            <w:r w:rsidRPr="00C07121">
              <w:rPr>
                <w:rFonts w:ascii="Arial" w:hAnsi="Arial" w:cs="Arial"/>
              </w:rPr>
              <w:t>Temperatura strumienia gazu : -160 stopni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E75" w:rsidRPr="00B848B8" w:rsidRDefault="00952385" w:rsidP="00C07121">
            <w:pPr>
              <w:jc w:val="center"/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B848B8" w:rsidRDefault="00273E75" w:rsidP="00273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E75" w:rsidRPr="00B848B8" w:rsidRDefault="00273E75" w:rsidP="0027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C07121" w:rsidRDefault="00C07121" w:rsidP="00273E75">
            <w:pPr>
              <w:rPr>
                <w:rFonts w:ascii="Arial" w:hAnsi="Arial" w:cs="Arial"/>
              </w:rPr>
            </w:pPr>
            <w:r w:rsidRPr="00C07121">
              <w:rPr>
                <w:rFonts w:ascii="Arial" w:hAnsi="Arial" w:cs="Arial"/>
                <w:bCs/>
              </w:rPr>
              <w:t>Liczba stopni regulacji intensywności nadmuchu:  min. 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E75" w:rsidRPr="00B848B8" w:rsidRDefault="00952385" w:rsidP="00C07121">
            <w:pPr>
              <w:jc w:val="center"/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B848B8" w:rsidRDefault="00273E75" w:rsidP="00273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B7" w:rsidRPr="00B848B8" w:rsidRDefault="00273E75" w:rsidP="00903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B7" w:rsidRPr="00C07121" w:rsidRDefault="00C07121" w:rsidP="009038B7">
            <w:pPr>
              <w:rPr>
                <w:rFonts w:ascii="Arial" w:hAnsi="Arial" w:cs="Arial"/>
                <w:bCs/>
              </w:rPr>
            </w:pPr>
            <w:r w:rsidRPr="00C07121">
              <w:rPr>
                <w:rFonts w:ascii="Arial" w:hAnsi="Arial" w:cs="Arial"/>
                <w:bCs/>
              </w:rPr>
              <w:t>Zużycie ciekłego azotu : maksymalnie  od 3 do 10kg/h (praca ciągła ) - w zależności o intensywności nadmuchu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B7" w:rsidRPr="00B848B8" w:rsidRDefault="00273E75" w:rsidP="009038B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B7" w:rsidRPr="00B848B8" w:rsidRDefault="009038B7" w:rsidP="00903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bookmarkStart w:id="0" w:name="_GoBack"/>
        <w:bookmarkEnd w:id="0"/>
      </w:tr>
      <w:tr w:rsidR="009038B7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B7" w:rsidRPr="00B848B8" w:rsidRDefault="009038B7" w:rsidP="00903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273E75" w:rsidRPr="00B848B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B7" w:rsidRPr="00C07121" w:rsidRDefault="00C07121" w:rsidP="009038B7">
            <w:pPr>
              <w:rPr>
                <w:rFonts w:ascii="Arial" w:hAnsi="Arial" w:cs="Arial"/>
              </w:rPr>
            </w:pPr>
            <w:r w:rsidRPr="00C07121">
              <w:rPr>
                <w:rFonts w:ascii="Arial" w:hAnsi="Arial" w:cs="Arial"/>
                <w:bCs/>
              </w:rPr>
              <w:t>Liczba zabiegów przy użyciu jednego zbiornika  ciekłego azotu (ok. 65 dla średniego czasu zabiegu = 3min)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B7" w:rsidRPr="00B848B8" w:rsidRDefault="00952385" w:rsidP="00273E75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hAnsi="Arial" w:cs="Aria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B7" w:rsidRPr="00B848B8" w:rsidRDefault="009038B7" w:rsidP="00903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038B7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B7" w:rsidRPr="00B848B8" w:rsidRDefault="009038B7" w:rsidP="009038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="00273E75" w:rsidRPr="00B848B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8B7" w:rsidRPr="00C07121" w:rsidRDefault="00C07121" w:rsidP="009038B7">
            <w:pPr>
              <w:rPr>
                <w:rFonts w:ascii="Arial" w:hAnsi="Arial" w:cs="Arial"/>
              </w:rPr>
            </w:pPr>
            <w:r w:rsidRPr="00C07121">
              <w:rPr>
                <w:rFonts w:ascii="Arial" w:hAnsi="Arial" w:cs="Arial"/>
                <w:bCs/>
              </w:rPr>
              <w:t>Sygnał dźwiękowy emitowany co 30 sekund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8B7" w:rsidRPr="00B848B8" w:rsidRDefault="00273E75" w:rsidP="009038B7">
            <w:pPr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8B7" w:rsidRPr="00B848B8" w:rsidRDefault="009038B7" w:rsidP="00903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E75" w:rsidRPr="00B848B8" w:rsidRDefault="00273E75" w:rsidP="0027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C07121" w:rsidRDefault="00C07121" w:rsidP="00273E75">
            <w:pPr>
              <w:rPr>
                <w:rFonts w:ascii="Arial" w:hAnsi="Arial" w:cs="Arial"/>
              </w:rPr>
            </w:pPr>
            <w:r w:rsidRPr="00C07121">
              <w:rPr>
                <w:rFonts w:ascii="Arial" w:hAnsi="Arial" w:cs="Arial"/>
                <w:bCs/>
              </w:rPr>
              <w:t>Zabezpieczenie przed zniszczeniem grzałki poprzez ostrzeganie przy pomocy sygnalizacji diodowej  o niskim poziomie azotu w butli lub braku informacji z czujników temperatury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E75" w:rsidRPr="00B848B8" w:rsidRDefault="00273E75" w:rsidP="00273E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B848B8" w:rsidRDefault="00273E75" w:rsidP="00273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E75" w:rsidRPr="00B848B8" w:rsidRDefault="00273E75" w:rsidP="0027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C07121" w:rsidRDefault="00C07121" w:rsidP="00273E75">
            <w:pPr>
              <w:rPr>
                <w:rFonts w:ascii="Arial" w:hAnsi="Arial" w:cs="Arial"/>
              </w:rPr>
            </w:pPr>
            <w:r w:rsidRPr="00C07121">
              <w:rPr>
                <w:rFonts w:ascii="Arial" w:hAnsi="Arial" w:cs="Arial"/>
                <w:bCs/>
              </w:rPr>
              <w:t>Zasilanie: 230 V (+/- 5%)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E75" w:rsidRPr="00B848B8" w:rsidRDefault="00273E75" w:rsidP="00273E75">
            <w:pPr>
              <w:jc w:val="center"/>
              <w:rPr>
                <w:rFonts w:ascii="Arial" w:hAnsi="Arial" w:cs="Aria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TAK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B848B8" w:rsidRDefault="00273E75" w:rsidP="00273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3E75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E75" w:rsidRPr="00B848B8" w:rsidRDefault="00273E75" w:rsidP="0027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848B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C07121" w:rsidRDefault="00C07121" w:rsidP="00273E75">
            <w:pPr>
              <w:rPr>
                <w:rFonts w:ascii="Arial" w:hAnsi="Arial" w:cs="Arial"/>
              </w:rPr>
            </w:pPr>
            <w:r w:rsidRPr="00C07121">
              <w:rPr>
                <w:rFonts w:ascii="Arial" w:hAnsi="Arial" w:cs="Arial"/>
                <w:bCs/>
              </w:rPr>
              <w:t>Wymiary (dł. x szer. x wys.) 900 x 500 x 1100 mm (+/- 5%)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E75" w:rsidRPr="00B848B8" w:rsidRDefault="00273E75" w:rsidP="00273E75">
            <w:pPr>
              <w:jc w:val="center"/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E75" w:rsidRPr="00B848B8" w:rsidRDefault="00273E75" w:rsidP="00273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272440" w:rsidRPr="00B848B8" w:rsidTr="00646C7E">
        <w:trPr>
          <w:gridAfter w:val="1"/>
          <w:wAfter w:w="47" w:type="dxa"/>
          <w:trHeight w:val="26"/>
        </w:trPr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440" w:rsidRPr="00B848B8" w:rsidRDefault="00272440" w:rsidP="00273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0" w:rsidRPr="00C07121" w:rsidRDefault="00272440" w:rsidP="00273E7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Czas dostawy max. 3 tygodnie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440" w:rsidRPr="00B848B8" w:rsidRDefault="00272440" w:rsidP="00272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0" w:rsidRPr="00B848B8" w:rsidRDefault="00272440" w:rsidP="00273E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646C7E" w:rsidRPr="00B848B8" w:rsidTr="00646C7E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6C7E" w:rsidRPr="00B848B8" w:rsidRDefault="00646C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6C7E" w:rsidRPr="00B848B8" w:rsidRDefault="00646C7E">
            <w:pPr>
              <w:jc w:val="center"/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  <w:b/>
              </w:rPr>
              <w:t>Gwarancja i Serwis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46C7E" w:rsidRPr="00B848B8" w:rsidRDefault="00646C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7E" w:rsidRPr="00B848B8" w:rsidRDefault="00646C7E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646C7E" w:rsidRPr="00B848B8" w:rsidTr="00646C7E">
        <w:trPr>
          <w:trHeight w:val="4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7E" w:rsidRPr="00B848B8" w:rsidRDefault="00646C7E" w:rsidP="00646C7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C7E" w:rsidRPr="00B848B8" w:rsidRDefault="00646C7E">
            <w:pPr>
              <w:shd w:val="clear" w:color="auto" w:fill="FFFFFF"/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>Okres gwarancji 24 miesiące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C7E" w:rsidRPr="00B848B8" w:rsidRDefault="00646C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48B8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E" w:rsidRPr="00B848B8" w:rsidRDefault="00646C7E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646C7E" w:rsidRPr="00B848B8" w:rsidTr="00646C7E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7E" w:rsidRPr="00B848B8" w:rsidRDefault="00646C7E" w:rsidP="00646C7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C7E" w:rsidRPr="00B848B8" w:rsidRDefault="00646C7E">
            <w:pPr>
              <w:shd w:val="clear" w:color="auto" w:fill="FFFFFF"/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>Autoryzowany serwis gwarancyjny i pogwarancyjny na terenie Polski. Wykonawca musi podać własny lub zewnętrzny serwis.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C7E" w:rsidRPr="00B848B8" w:rsidRDefault="00646C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48B8">
              <w:rPr>
                <w:rFonts w:ascii="Arial" w:eastAsia="Times New Roman" w:hAnsi="Arial" w:cs="Arial"/>
                <w:lang w:eastAsia="pl-PL"/>
              </w:rPr>
              <w:t>TAK podać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E" w:rsidRPr="00B848B8" w:rsidRDefault="00646C7E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646C7E" w:rsidRPr="00B848B8" w:rsidTr="00646C7E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7E" w:rsidRPr="00B848B8" w:rsidRDefault="00646C7E" w:rsidP="00646C7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C7E" w:rsidRPr="00B848B8" w:rsidRDefault="00646C7E">
            <w:pPr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 xml:space="preserve">Czas reakcji serwisu od zgłoszonej usterki max 24 godziny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C7E" w:rsidRPr="00B848B8" w:rsidRDefault="00646C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48B8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E" w:rsidRPr="00B848B8" w:rsidRDefault="00646C7E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646C7E" w:rsidRPr="00B848B8" w:rsidTr="00646C7E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7E" w:rsidRPr="00B848B8" w:rsidRDefault="00646C7E" w:rsidP="00646C7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C7E" w:rsidRPr="00B848B8" w:rsidRDefault="00646C7E">
            <w:pPr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>Podać częstotliwość wymaganych przez producenta przeglądów w danym okresie czasu.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C7E" w:rsidRPr="00B848B8" w:rsidRDefault="00646C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48B8">
              <w:rPr>
                <w:rFonts w:ascii="Arial" w:eastAsia="Times New Roman" w:hAnsi="Arial" w:cs="Arial"/>
                <w:lang w:eastAsia="pl-PL"/>
              </w:rPr>
              <w:t>TAK, podać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E" w:rsidRPr="00B848B8" w:rsidRDefault="00646C7E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646C7E" w:rsidRPr="00B848B8" w:rsidTr="00646C7E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7E" w:rsidRPr="00B848B8" w:rsidRDefault="00646C7E" w:rsidP="00646C7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C7E" w:rsidRPr="00B848B8" w:rsidRDefault="00646C7E">
            <w:pPr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C7E" w:rsidRPr="00B848B8" w:rsidRDefault="00646C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48B8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E" w:rsidRPr="00B848B8" w:rsidRDefault="00646C7E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646C7E" w:rsidRPr="00B848B8" w:rsidTr="00646C7E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7E" w:rsidRPr="00B848B8" w:rsidRDefault="00646C7E" w:rsidP="00646C7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C7E" w:rsidRPr="00B848B8" w:rsidRDefault="00646C7E">
            <w:pPr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C7E" w:rsidRPr="00B848B8" w:rsidRDefault="00646C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48B8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E" w:rsidRPr="00B848B8" w:rsidRDefault="00646C7E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646C7E" w:rsidRPr="00B848B8" w:rsidTr="00646C7E">
        <w:trPr>
          <w:trHeight w:val="422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6C7E" w:rsidRPr="00B848B8" w:rsidRDefault="00646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pl-PL"/>
              </w:rPr>
            </w:pPr>
            <w:proofErr w:type="spellStart"/>
            <w:r w:rsidRPr="00B848B8">
              <w:rPr>
                <w:rFonts w:ascii="Arial" w:eastAsia="Times New Roman" w:hAnsi="Arial" w:cs="Arial"/>
                <w:b/>
                <w:lang w:val="en-US" w:eastAsia="pl-PL"/>
              </w:rPr>
              <w:t>Eksploatacja</w:t>
            </w:r>
            <w:proofErr w:type="spellEnd"/>
            <w:r w:rsidRPr="00B848B8">
              <w:rPr>
                <w:rFonts w:ascii="Arial" w:eastAsia="Times New Roman" w:hAnsi="Arial" w:cs="Arial"/>
                <w:b/>
                <w:lang w:val="en-US" w:eastAsia="pl-PL"/>
              </w:rPr>
              <w:t xml:space="preserve"> </w:t>
            </w:r>
            <w:proofErr w:type="spellStart"/>
            <w:r w:rsidRPr="00B848B8">
              <w:rPr>
                <w:rFonts w:ascii="Arial" w:eastAsia="Times New Roman" w:hAnsi="Arial" w:cs="Arial"/>
                <w:b/>
                <w:lang w:val="en-US" w:eastAsia="pl-PL"/>
              </w:rPr>
              <w:t>urządzenia</w:t>
            </w:r>
            <w:proofErr w:type="spellEnd"/>
          </w:p>
        </w:tc>
      </w:tr>
      <w:tr w:rsidR="00646C7E" w:rsidRPr="00B848B8" w:rsidTr="00646C7E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7E" w:rsidRPr="00B848B8" w:rsidRDefault="00646C7E" w:rsidP="00646C7E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6C7E" w:rsidRPr="00B848B8" w:rsidRDefault="00646C7E">
            <w:pPr>
              <w:rPr>
                <w:rFonts w:ascii="Arial" w:hAnsi="Arial" w:cs="Arial"/>
              </w:rPr>
            </w:pPr>
            <w:r w:rsidRPr="00B848B8">
              <w:rPr>
                <w:rFonts w:ascii="Arial" w:hAnsi="Arial" w:cs="Arial"/>
              </w:rPr>
              <w:t xml:space="preserve">Wykonawca zobowiązany jest do dostarczenia wykazu wraz numerem ref: </w:t>
            </w:r>
            <w:proofErr w:type="spellStart"/>
            <w:r w:rsidRPr="00B848B8">
              <w:rPr>
                <w:rFonts w:ascii="Arial" w:hAnsi="Arial" w:cs="Arial"/>
              </w:rPr>
              <w:t>odprowadzeń</w:t>
            </w:r>
            <w:proofErr w:type="spellEnd"/>
            <w:r w:rsidRPr="00B848B8">
              <w:rPr>
                <w:rFonts w:ascii="Arial" w:hAnsi="Arial" w:cs="Arial"/>
              </w:rPr>
              <w:t xml:space="preserve"> pacjenta, adapterów, końcówek roboczych, płynów kalibracyjnych, elektrod, podkładów do elektrod, drenów, przewodów zasilających, mankietów, łyżek, czujników, modułów, filtrów, węży jednorazowych, igieł </w:t>
            </w:r>
            <w:proofErr w:type="spellStart"/>
            <w:r w:rsidRPr="00B848B8">
              <w:rPr>
                <w:rFonts w:ascii="Arial" w:hAnsi="Arial" w:cs="Arial"/>
              </w:rPr>
              <w:t>insuflacyjnych</w:t>
            </w:r>
            <w:proofErr w:type="spellEnd"/>
            <w:r w:rsidRPr="00B848B8">
              <w:rPr>
                <w:rFonts w:ascii="Arial" w:hAnsi="Arial" w:cs="Arial"/>
              </w:rPr>
              <w:t>, kapturków uszczelniających, przepustnic, nakładek, testów, ustników, oraz wszelkiego rodzaju elementów nie wymienionych powyżej, aczkolwiek wykorzystywanych w trakcie eksploatacji urządzenia, jeżeli są wymagane przy danym sprzęcie. Wykaz musi być kompatybilny z oferowanym sprzętem.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6C7E" w:rsidRPr="00B848B8" w:rsidRDefault="00646C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848B8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E" w:rsidRPr="00B848B8" w:rsidRDefault="00646C7E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</w:tbl>
    <w:p w:rsidR="00646C7E" w:rsidRPr="00B848B8" w:rsidRDefault="00646C7E" w:rsidP="00646C7E">
      <w:pPr>
        <w:rPr>
          <w:rFonts w:ascii="Arial" w:hAnsi="Arial" w:cs="Arial"/>
        </w:rPr>
      </w:pPr>
    </w:p>
    <w:p w:rsidR="00CD5D2F" w:rsidRPr="00B848B8" w:rsidRDefault="00CD5D2F" w:rsidP="002D126E">
      <w:pPr>
        <w:rPr>
          <w:rFonts w:ascii="Arial" w:hAnsi="Arial" w:cs="Arial"/>
        </w:rPr>
      </w:pPr>
    </w:p>
    <w:sectPr w:rsidR="00CD5D2F" w:rsidRPr="00B848B8" w:rsidSect="009C2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800"/>
    <w:multiLevelType w:val="multilevel"/>
    <w:tmpl w:val="E6AE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46A28"/>
    <w:multiLevelType w:val="hybridMultilevel"/>
    <w:tmpl w:val="9BCA2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72EB"/>
    <w:multiLevelType w:val="hybridMultilevel"/>
    <w:tmpl w:val="252ECF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20982"/>
    <w:multiLevelType w:val="hybridMultilevel"/>
    <w:tmpl w:val="EBA4A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77C25"/>
    <w:multiLevelType w:val="multilevel"/>
    <w:tmpl w:val="D78C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B100D"/>
    <w:multiLevelType w:val="multilevel"/>
    <w:tmpl w:val="CFD6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B6DF3"/>
    <w:multiLevelType w:val="hybridMultilevel"/>
    <w:tmpl w:val="B0C2A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E6FDA"/>
    <w:multiLevelType w:val="multilevel"/>
    <w:tmpl w:val="8D9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E3D8D"/>
    <w:multiLevelType w:val="multilevel"/>
    <w:tmpl w:val="39F4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35156"/>
    <w:multiLevelType w:val="multilevel"/>
    <w:tmpl w:val="4836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1747A"/>
    <w:multiLevelType w:val="multilevel"/>
    <w:tmpl w:val="81B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03FDF"/>
    <w:multiLevelType w:val="hybridMultilevel"/>
    <w:tmpl w:val="020CF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B43CD"/>
    <w:multiLevelType w:val="hybridMultilevel"/>
    <w:tmpl w:val="0AAEF8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AD5E62"/>
    <w:multiLevelType w:val="hybridMultilevel"/>
    <w:tmpl w:val="E37E0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1568E5"/>
    <w:multiLevelType w:val="multilevel"/>
    <w:tmpl w:val="C8E0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E3256"/>
    <w:multiLevelType w:val="multilevel"/>
    <w:tmpl w:val="7EB0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B61BF"/>
    <w:multiLevelType w:val="hybridMultilevel"/>
    <w:tmpl w:val="4E6C1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34A7D"/>
    <w:multiLevelType w:val="hybridMultilevel"/>
    <w:tmpl w:val="DC0091A8"/>
    <w:lvl w:ilvl="0" w:tplc="04150005">
      <w:start w:val="1"/>
      <w:numFmt w:val="bullet"/>
      <w:lvlText w:val=""/>
      <w:lvlJc w:val="left"/>
      <w:pPr>
        <w:ind w:left="8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41103E5B"/>
    <w:multiLevelType w:val="hybridMultilevel"/>
    <w:tmpl w:val="C5DA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77A14"/>
    <w:multiLevelType w:val="hybridMultilevel"/>
    <w:tmpl w:val="3AF05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4429A"/>
    <w:multiLevelType w:val="multilevel"/>
    <w:tmpl w:val="C302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70D7E"/>
    <w:multiLevelType w:val="multilevel"/>
    <w:tmpl w:val="B79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5225D"/>
    <w:multiLevelType w:val="hybridMultilevel"/>
    <w:tmpl w:val="18501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B26708"/>
    <w:multiLevelType w:val="hybridMultilevel"/>
    <w:tmpl w:val="93968054"/>
    <w:lvl w:ilvl="0" w:tplc="5AEED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141C9"/>
    <w:multiLevelType w:val="hybridMultilevel"/>
    <w:tmpl w:val="05062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635240"/>
    <w:multiLevelType w:val="hybridMultilevel"/>
    <w:tmpl w:val="260ACB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D2C35C">
      <w:numFmt w:val="bullet"/>
      <w:lvlText w:val="•"/>
      <w:lvlJc w:val="left"/>
      <w:pPr>
        <w:ind w:left="1430" w:hanging="71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6C40A9"/>
    <w:multiLevelType w:val="hybridMultilevel"/>
    <w:tmpl w:val="B28A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995619"/>
    <w:multiLevelType w:val="hybridMultilevel"/>
    <w:tmpl w:val="737CC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D5179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D150FE"/>
    <w:multiLevelType w:val="hybridMultilevel"/>
    <w:tmpl w:val="B446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44DD8"/>
    <w:multiLevelType w:val="hybridMultilevel"/>
    <w:tmpl w:val="37A8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3488D"/>
    <w:multiLevelType w:val="hybridMultilevel"/>
    <w:tmpl w:val="3F4CD02E"/>
    <w:lvl w:ilvl="0" w:tplc="5AEED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D1563"/>
    <w:multiLevelType w:val="multilevel"/>
    <w:tmpl w:val="577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E7247"/>
    <w:multiLevelType w:val="hybridMultilevel"/>
    <w:tmpl w:val="A11634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750C4D"/>
    <w:multiLevelType w:val="hybridMultilevel"/>
    <w:tmpl w:val="51FC95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1272AE"/>
    <w:multiLevelType w:val="hybridMultilevel"/>
    <w:tmpl w:val="B8201E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1543A1"/>
    <w:multiLevelType w:val="multilevel"/>
    <w:tmpl w:val="91C6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BA4E1E"/>
    <w:multiLevelType w:val="multilevel"/>
    <w:tmpl w:val="34A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FE0860"/>
    <w:multiLevelType w:val="hybridMultilevel"/>
    <w:tmpl w:val="E818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606C28"/>
    <w:multiLevelType w:val="hybridMultilevel"/>
    <w:tmpl w:val="296C8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11343"/>
    <w:multiLevelType w:val="hybridMultilevel"/>
    <w:tmpl w:val="5C4E8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FD2027"/>
    <w:multiLevelType w:val="hybridMultilevel"/>
    <w:tmpl w:val="5AD86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D4806"/>
    <w:multiLevelType w:val="multilevel"/>
    <w:tmpl w:val="A3C0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1E4D99"/>
    <w:multiLevelType w:val="hybridMultilevel"/>
    <w:tmpl w:val="441C6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5775B9"/>
    <w:multiLevelType w:val="hybridMultilevel"/>
    <w:tmpl w:val="8E18AC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3"/>
  </w:num>
  <w:num w:numId="4">
    <w:abstractNumId w:val="27"/>
  </w:num>
  <w:num w:numId="5">
    <w:abstractNumId w:val="16"/>
  </w:num>
  <w:num w:numId="6">
    <w:abstractNumId w:val="12"/>
  </w:num>
  <w:num w:numId="7">
    <w:abstractNumId w:val="6"/>
  </w:num>
  <w:num w:numId="8">
    <w:abstractNumId w:val="11"/>
  </w:num>
  <w:num w:numId="9">
    <w:abstractNumId w:val="44"/>
  </w:num>
  <w:num w:numId="10">
    <w:abstractNumId w:val="33"/>
  </w:num>
  <w:num w:numId="11">
    <w:abstractNumId w:val="2"/>
  </w:num>
  <w:num w:numId="12">
    <w:abstractNumId w:val="39"/>
  </w:num>
  <w:num w:numId="13">
    <w:abstractNumId w:val="40"/>
  </w:num>
  <w:num w:numId="14">
    <w:abstractNumId w:val="1"/>
  </w:num>
  <w:num w:numId="15">
    <w:abstractNumId w:val="29"/>
  </w:num>
  <w:num w:numId="16">
    <w:abstractNumId w:val="34"/>
  </w:num>
  <w:num w:numId="17">
    <w:abstractNumId w:val="25"/>
  </w:num>
  <w:num w:numId="18">
    <w:abstractNumId w:val="18"/>
  </w:num>
  <w:num w:numId="19">
    <w:abstractNumId w:val="30"/>
  </w:num>
  <w:num w:numId="20">
    <w:abstractNumId w:val="19"/>
  </w:num>
  <w:num w:numId="21">
    <w:abstractNumId w:val="24"/>
  </w:num>
  <w:num w:numId="22">
    <w:abstractNumId w:val="22"/>
  </w:num>
  <w:num w:numId="23">
    <w:abstractNumId w:val="43"/>
  </w:num>
  <w:num w:numId="24">
    <w:abstractNumId w:val="35"/>
  </w:num>
  <w:num w:numId="25">
    <w:abstractNumId w:val="42"/>
  </w:num>
  <w:num w:numId="26">
    <w:abstractNumId w:val="9"/>
  </w:num>
  <w:num w:numId="27">
    <w:abstractNumId w:val="0"/>
  </w:num>
  <w:num w:numId="28">
    <w:abstractNumId w:val="14"/>
  </w:num>
  <w:num w:numId="29">
    <w:abstractNumId w:val="5"/>
  </w:num>
  <w:num w:numId="30">
    <w:abstractNumId w:val="37"/>
  </w:num>
  <w:num w:numId="31">
    <w:abstractNumId w:val="36"/>
  </w:num>
  <w:num w:numId="32">
    <w:abstractNumId w:val="15"/>
  </w:num>
  <w:num w:numId="33">
    <w:abstractNumId w:val="10"/>
  </w:num>
  <w:num w:numId="34">
    <w:abstractNumId w:val="20"/>
  </w:num>
  <w:num w:numId="35">
    <w:abstractNumId w:val="4"/>
  </w:num>
  <w:num w:numId="36">
    <w:abstractNumId w:val="7"/>
  </w:num>
  <w:num w:numId="37">
    <w:abstractNumId w:val="32"/>
  </w:num>
  <w:num w:numId="38">
    <w:abstractNumId w:val="21"/>
  </w:num>
  <w:num w:numId="39">
    <w:abstractNumId w:val="8"/>
  </w:num>
  <w:num w:numId="40">
    <w:abstractNumId w:val="41"/>
  </w:num>
  <w:num w:numId="41">
    <w:abstractNumId w:val="31"/>
  </w:num>
  <w:num w:numId="42">
    <w:abstractNumId w:val="23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51"/>
    <w:rsid w:val="00007E00"/>
    <w:rsid w:val="00024D4D"/>
    <w:rsid w:val="00051F8D"/>
    <w:rsid w:val="000568E7"/>
    <w:rsid w:val="00081F88"/>
    <w:rsid w:val="000B0D6D"/>
    <w:rsid w:val="000C22D6"/>
    <w:rsid w:val="00120F58"/>
    <w:rsid w:val="00154A5B"/>
    <w:rsid w:val="00176638"/>
    <w:rsid w:val="001C5CBD"/>
    <w:rsid w:val="00223C7E"/>
    <w:rsid w:val="00224264"/>
    <w:rsid w:val="00250657"/>
    <w:rsid w:val="00265BA5"/>
    <w:rsid w:val="00272440"/>
    <w:rsid w:val="00273E75"/>
    <w:rsid w:val="00282040"/>
    <w:rsid w:val="002865F1"/>
    <w:rsid w:val="002C7D7A"/>
    <w:rsid w:val="002D126E"/>
    <w:rsid w:val="002E27B6"/>
    <w:rsid w:val="00334F26"/>
    <w:rsid w:val="0036154B"/>
    <w:rsid w:val="00382ACD"/>
    <w:rsid w:val="00387E54"/>
    <w:rsid w:val="003927D9"/>
    <w:rsid w:val="003A3551"/>
    <w:rsid w:val="003B047F"/>
    <w:rsid w:val="0042467B"/>
    <w:rsid w:val="004759E1"/>
    <w:rsid w:val="004B09D3"/>
    <w:rsid w:val="00533CB6"/>
    <w:rsid w:val="00554DC1"/>
    <w:rsid w:val="00564BE1"/>
    <w:rsid w:val="00576CCA"/>
    <w:rsid w:val="005940D2"/>
    <w:rsid w:val="005B767D"/>
    <w:rsid w:val="005C72AA"/>
    <w:rsid w:val="00613ED9"/>
    <w:rsid w:val="00642A73"/>
    <w:rsid w:val="00644286"/>
    <w:rsid w:val="00646C7E"/>
    <w:rsid w:val="006641BF"/>
    <w:rsid w:val="0068026C"/>
    <w:rsid w:val="006930CE"/>
    <w:rsid w:val="006E4474"/>
    <w:rsid w:val="00704D88"/>
    <w:rsid w:val="007416CC"/>
    <w:rsid w:val="00745134"/>
    <w:rsid w:val="007F4B46"/>
    <w:rsid w:val="007F7F9E"/>
    <w:rsid w:val="0081300F"/>
    <w:rsid w:val="00860F7F"/>
    <w:rsid w:val="008705E3"/>
    <w:rsid w:val="008806E5"/>
    <w:rsid w:val="00891DE1"/>
    <w:rsid w:val="008D5AC2"/>
    <w:rsid w:val="008F3B11"/>
    <w:rsid w:val="009010B0"/>
    <w:rsid w:val="00901C74"/>
    <w:rsid w:val="009038B7"/>
    <w:rsid w:val="009218A9"/>
    <w:rsid w:val="00952385"/>
    <w:rsid w:val="009732AC"/>
    <w:rsid w:val="00973319"/>
    <w:rsid w:val="00975A22"/>
    <w:rsid w:val="009860D4"/>
    <w:rsid w:val="009C2E07"/>
    <w:rsid w:val="009F3EE0"/>
    <w:rsid w:val="00A5618F"/>
    <w:rsid w:val="00A60BE4"/>
    <w:rsid w:val="00A613A9"/>
    <w:rsid w:val="00A6369C"/>
    <w:rsid w:val="00A65DE6"/>
    <w:rsid w:val="00A7639E"/>
    <w:rsid w:val="00A77BBE"/>
    <w:rsid w:val="00A90182"/>
    <w:rsid w:val="00A901E4"/>
    <w:rsid w:val="00AE6D11"/>
    <w:rsid w:val="00B077EF"/>
    <w:rsid w:val="00B22FB2"/>
    <w:rsid w:val="00B73887"/>
    <w:rsid w:val="00B80543"/>
    <w:rsid w:val="00B848B8"/>
    <w:rsid w:val="00BA6A92"/>
    <w:rsid w:val="00BB038A"/>
    <w:rsid w:val="00BC1BAA"/>
    <w:rsid w:val="00BE57EC"/>
    <w:rsid w:val="00C07121"/>
    <w:rsid w:val="00C50E37"/>
    <w:rsid w:val="00C536D1"/>
    <w:rsid w:val="00C73404"/>
    <w:rsid w:val="00C9352E"/>
    <w:rsid w:val="00C9383D"/>
    <w:rsid w:val="00CB2783"/>
    <w:rsid w:val="00CC661C"/>
    <w:rsid w:val="00CD5D2F"/>
    <w:rsid w:val="00CE5321"/>
    <w:rsid w:val="00D017D5"/>
    <w:rsid w:val="00D16B61"/>
    <w:rsid w:val="00D33491"/>
    <w:rsid w:val="00D47B28"/>
    <w:rsid w:val="00D5349F"/>
    <w:rsid w:val="00D57EFA"/>
    <w:rsid w:val="00D612CC"/>
    <w:rsid w:val="00DC40CE"/>
    <w:rsid w:val="00E076B1"/>
    <w:rsid w:val="00E3205C"/>
    <w:rsid w:val="00E4412E"/>
    <w:rsid w:val="00E66619"/>
    <w:rsid w:val="00E84A46"/>
    <w:rsid w:val="00EB5FCD"/>
    <w:rsid w:val="00EC47BC"/>
    <w:rsid w:val="00F54574"/>
    <w:rsid w:val="00F71445"/>
    <w:rsid w:val="00FE4451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F2E6"/>
  <w15:docId w15:val="{A0A10F71-8124-4571-AA08-5661D429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2AC"/>
  </w:style>
  <w:style w:type="paragraph" w:styleId="Nagwek1">
    <w:name w:val="heading 1"/>
    <w:basedOn w:val="Normalny"/>
    <w:next w:val="Normalny"/>
    <w:link w:val="Nagwek1Znak"/>
    <w:uiPriority w:val="9"/>
    <w:qFormat/>
    <w:rsid w:val="007F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D5D2F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D5D2F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D5D2F"/>
    <w:p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22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B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F4B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D5D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D5D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D5D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D5D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891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1C5C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">
    <w:name w:val="Standard"/>
    <w:rsid w:val="009C2E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Indeks1">
    <w:name w:val="index 1"/>
    <w:basedOn w:val="Normalny"/>
    <w:rsid w:val="009038B7"/>
    <w:pPr>
      <w:suppressLineNumbers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646C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7E63C-30D8-412A-9C0F-143C1D0A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2018-09-05T08:38:00Z</cp:lastPrinted>
  <dcterms:created xsi:type="dcterms:W3CDTF">2019-07-09T09:11:00Z</dcterms:created>
  <dcterms:modified xsi:type="dcterms:W3CDTF">2019-11-19T08:22:00Z</dcterms:modified>
</cp:coreProperties>
</file>